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400F8" w14:textId="77777777" w:rsidR="007234A9" w:rsidRDefault="001E4911" w:rsidP="004D1906">
      <w:pPr>
        <w:pBdr>
          <w:top w:val="nil"/>
          <w:left w:val="nil"/>
          <w:bottom w:val="nil"/>
          <w:right w:val="nil"/>
          <w:between w:val="nil"/>
        </w:pBdr>
        <w:tabs>
          <w:tab w:val="left" w:pos="1047"/>
          <w:tab w:val="left" w:pos="1474"/>
        </w:tabs>
        <w:spacing w:after="120" w:line="360" w:lineRule="auto"/>
        <w:jc w:val="both"/>
        <w:rPr>
          <w:rFonts w:ascii="Arial" w:eastAsia="Arial" w:hAnsi="Arial" w:cs="Arial"/>
          <w:b/>
          <w:sz w:val="20"/>
          <w:szCs w:val="20"/>
        </w:rPr>
      </w:pPr>
      <w:r>
        <w:rPr>
          <w:rFonts w:ascii="Arial" w:hAnsi="Arial"/>
          <w:b/>
          <w:sz w:val="20"/>
        </w:rPr>
        <w:t>AMC: Annual General Mandate 2024</w:t>
      </w:r>
    </w:p>
    <w:p w14:paraId="4DC5E3CA" w14:textId="77777777" w:rsidR="007234A9" w:rsidRDefault="001E4911" w:rsidP="004D1906">
      <w:pPr>
        <w:pBdr>
          <w:top w:val="nil"/>
          <w:left w:val="nil"/>
          <w:bottom w:val="nil"/>
          <w:right w:val="nil"/>
          <w:between w:val="nil"/>
        </w:pBdr>
        <w:tabs>
          <w:tab w:val="left" w:pos="1047"/>
          <w:tab w:val="left" w:pos="1474"/>
        </w:tabs>
        <w:spacing w:after="120" w:line="360" w:lineRule="auto"/>
        <w:jc w:val="both"/>
        <w:rPr>
          <w:rFonts w:ascii="Arial" w:eastAsia="Arial" w:hAnsi="Arial" w:cs="Arial"/>
          <w:sz w:val="20"/>
          <w:szCs w:val="20"/>
        </w:rPr>
      </w:pPr>
      <w:r>
        <w:rPr>
          <w:rFonts w:ascii="Arial" w:hAnsi="Arial"/>
          <w:sz w:val="20"/>
        </w:rPr>
        <w:t xml:space="preserve">On April 25, 2024, Asia Mineral Joint Stock Company announced General Mandate No. 01/NQ-DHDCD as follows: </w:t>
      </w:r>
    </w:p>
    <w:p w14:paraId="3BC09ECD"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1. Approve the Financial Settlement Report 2023</w:t>
      </w:r>
    </w:p>
    <w:p w14:paraId="6798FB88"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2. Approve the production, business and investment plan 2024 with the following contents:</w:t>
      </w:r>
    </w:p>
    <w:tbl>
      <w:tblPr>
        <w:tblStyle w:val="a"/>
        <w:tblW w:w="9000" w:type="dxa"/>
        <w:tblLayout w:type="fixed"/>
        <w:tblLook w:val="0400" w:firstRow="0" w:lastRow="0" w:firstColumn="0" w:lastColumn="0" w:noHBand="0" w:noVBand="1"/>
      </w:tblPr>
      <w:tblGrid>
        <w:gridCol w:w="645"/>
        <w:gridCol w:w="3180"/>
        <w:gridCol w:w="1650"/>
        <w:gridCol w:w="1980"/>
        <w:gridCol w:w="1545"/>
      </w:tblGrid>
      <w:tr w:rsidR="007234A9" w14:paraId="6FD6F896" w14:textId="77777777">
        <w:trPr>
          <w:trHeight w:val="1013"/>
        </w:trPr>
        <w:tc>
          <w:tcPr>
            <w:tcW w:w="645" w:type="dxa"/>
            <w:tcBorders>
              <w:top w:val="single" w:sz="4" w:space="0" w:color="000000"/>
              <w:left w:val="single" w:sz="4" w:space="0" w:color="000000"/>
            </w:tcBorders>
            <w:shd w:val="clear" w:color="auto" w:fill="FFFFFF"/>
            <w:tcMar>
              <w:top w:w="0" w:type="dxa"/>
              <w:bottom w:w="0" w:type="dxa"/>
            </w:tcMar>
            <w:vAlign w:val="center"/>
          </w:tcPr>
          <w:p w14:paraId="72F6812C"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No.</w:t>
            </w:r>
          </w:p>
        </w:tc>
        <w:tc>
          <w:tcPr>
            <w:tcW w:w="3180" w:type="dxa"/>
            <w:tcBorders>
              <w:top w:val="single" w:sz="4" w:space="0" w:color="000000"/>
              <w:left w:val="single" w:sz="4" w:space="0" w:color="000000"/>
            </w:tcBorders>
            <w:shd w:val="clear" w:color="auto" w:fill="FFFFFF"/>
            <w:tcMar>
              <w:top w:w="0" w:type="dxa"/>
              <w:bottom w:w="0" w:type="dxa"/>
            </w:tcMar>
            <w:vAlign w:val="center"/>
          </w:tcPr>
          <w:p w14:paraId="75C65CFB"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Target</w:t>
            </w:r>
          </w:p>
        </w:tc>
        <w:tc>
          <w:tcPr>
            <w:tcW w:w="1650" w:type="dxa"/>
            <w:tcBorders>
              <w:top w:val="single" w:sz="4" w:space="0" w:color="000000"/>
              <w:left w:val="single" w:sz="4" w:space="0" w:color="000000"/>
            </w:tcBorders>
            <w:shd w:val="clear" w:color="auto" w:fill="FFFFFF"/>
            <w:tcMar>
              <w:top w:w="0" w:type="dxa"/>
              <w:bottom w:w="0" w:type="dxa"/>
            </w:tcMar>
            <w:vAlign w:val="center"/>
          </w:tcPr>
          <w:p w14:paraId="55EA0DE1"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Unit</w:t>
            </w:r>
          </w:p>
        </w:tc>
        <w:tc>
          <w:tcPr>
            <w:tcW w:w="1980" w:type="dxa"/>
            <w:tcBorders>
              <w:top w:val="single" w:sz="4" w:space="0" w:color="000000"/>
              <w:left w:val="single" w:sz="4" w:space="0" w:color="000000"/>
            </w:tcBorders>
            <w:shd w:val="clear" w:color="auto" w:fill="FFFFFF"/>
            <w:tcMar>
              <w:top w:w="0" w:type="dxa"/>
              <w:bottom w:w="0" w:type="dxa"/>
            </w:tcMar>
            <w:vAlign w:val="center"/>
          </w:tcPr>
          <w:p w14:paraId="0F2364F5" w14:textId="65F621FD"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Plan</w:t>
            </w:r>
            <w:r w:rsidR="0019497F">
              <w:rPr>
                <w:rFonts w:ascii="Arial" w:hAnsi="Arial"/>
                <w:sz w:val="20"/>
              </w:rPr>
              <w:t xml:space="preserve"> 2024</w:t>
            </w:r>
          </w:p>
        </w:tc>
        <w:tc>
          <w:tcPr>
            <w:tcW w:w="1545"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14:paraId="5BE4B3EA"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Note</w:t>
            </w:r>
          </w:p>
        </w:tc>
      </w:tr>
      <w:tr w:rsidR="007234A9" w14:paraId="13598457" w14:textId="77777777">
        <w:trPr>
          <w:trHeight w:val="595"/>
        </w:trPr>
        <w:tc>
          <w:tcPr>
            <w:tcW w:w="645" w:type="dxa"/>
            <w:tcBorders>
              <w:top w:val="single" w:sz="4" w:space="0" w:color="000000"/>
              <w:left w:val="single" w:sz="4" w:space="0" w:color="000000"/>
            </w:tcBorders>
            <w:shd w:val="clear" w:color="auto" w:fill="FFFFFF"/>
            <w:tcMar>
              <w:top w:w="0" w:type="dxa"/>
              <w:bottom w:w="0" w:type="dxa"/>
            </w:tcMar>
            <w:vAlign w:val="center"/>
          </w:tcPr>
          <w:p w14:paraId="250B97DE"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w:t>
            </w:r>
          </w:p>
        </w:tc>
        <w:tc>
          <w:tcPr>
            <w:tcW w:w="3180" w:type="dxa"/>
            <w:tcBorders>
              <w:top w:val="single" w:sz="4" w:space="0" w:color="000000"/>
              <w:left w:val="single" w:sz="4" w:space="0" w:color="000000"/>
            </w:tcBorders>
            <w:shd w:val="clear" w:color="auto" w:fill="FFFFFF"/>
            <w:tcMar>
              <w:top w:w="0" w:type="dxa"/>
              <w:bottom w:w="0" w:type="dxa"/>
            </w:tcMar>
            <w:vAlign w:val="center"/>
          </w:tcPr>
          <w:p w14:paraId="48CDDF6A"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Exploitation output of stone in mines</w:t>
            </w:r>
          </w:p>
        </w:tc>
        <w:tc>
          <w:tcPr>
            <w:tcW w:w="1650" w:type="dxa"/>
            <w:tcBorders>
              <w:top w:val="single" w:sz="4" w:space="0" w:color="000000"/>
              <w:left w:val="single" w:sz="4" w:space="0" w:color="000000"/>
            </w:tcBorders>
            <w:shd w:val="clear" w:color="auto" w:fill="FFFFFF"/>
            <w:tcMar>
              <w:top w:w="0" w:type="dxa"/>
              <w:bottom w:w="0" w:type="dxa"/>
            </w:tcMar>
            <w:vAlign w:val="center"/>
          </w:tcPr>
          <w:p w14:paraId="1D00AF17"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Tons</w:t>
            </w:r>
          </w:p>
        </w:tc>
        <w:tc>
          <w:tcPr>
            <w:tcW w:w="1980" w:type="dxa"/>
            <w:tcBorders>
              <w:top w:val="single" w:sz="4" w:space="0" w:color="000000"/>
              <w:left w:val="single" w:sz="4" w:space="0" w:color="000000"/>
            </w:tcBorders>
            <w:shd w:val="clear" w:color="auto" w:fill="FFFFFF"/>
            <w:tcMar>
              <w:top w:w="0" w:type="dxa"/>
              <w:bottom w:w="0" w:type="dxa"/>
            </w:tcMar>
            <w:vAlign w:val="center"/>
          </w:tcPr>
          <w:p w14:paraId="3E49C711"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125,868</w:t>
            </w:r>
          </w:p>
        </w:tc>
        <w:tc>
          <w:tcPr>
            <w:tcW w:w="1545" w:type="dxa"/>
            <w:tcBorders>
              <w:top w:val="single" w:sz="4" w:space="0" w:color="000000"/>
              <w:left w:val="single" w:sz="4" w:space="0" w:color="000000"/>
              <w:right w:val="single" w:sz="4" w:space="0" w:color="000000"/>
            </w:tcBorders>
            <w:shd w:val="clear" w:color="auto" w:fill="FFFFFF"/>
            <w:tcMar>
              <w:top w:w="0" w:type="dxa"/>
              <w:bottom w:w="0" w:type="dxa"/>
            </w:tcMar>
          </w:tcPr>
          <w:p w14:paraId="2F66BC7B" w14:textId="77777777" w:rsidR="007234A9" w:rsidRDefault="007234A9">
            <w:pPr>
              <w:spacing w:after="120" w:line="360" w:lineRule="auto"/>
              <w:rPr>
                <w:rFonts w:ascii="Arial" w:eastAsia="Arial" w:hAnsi="Arial" w:cs="Arial"/>
                <w:sz w:val="20"/>
                <w:szCs w:val="20"/>
              </w:rPr>
            </w:pPr>
          </w:p>
        </w:tc>
      </w:tr>
      <w:tr w:rsidR="007234A9" w14:paraId="73A7982B" w14:textId="77777777">
        <w:trPr>
          <w:trHeight w:val="610"/>
        </w:trPr>
        <w:tc>
          <w:tcPr>
            <w:tcW w:w="645" w:type="dxa"/>
            <w:tcBorders>
              <w:top w:val="single" w:sz="4" w:space="0" w:color="000000"/>
              <w:left w:val="single" w:sz="4" w:space="0" w:color="000000"/>
            </w:tcBorders>
            <w:shd w:val="clear" w:color="auto" w:fill="FFFFFF"/>
            <w:tcMar>
              <w:top w:w="0" w:type="dxa"/>
              <w:bottom w:w="0" w:type="dxa"/>
            </w:tcMar>
            <w:vAlign w:val="center"/>
          </w:tcPr>
          <w:p w14:paraId="6C36C649"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2</w:t>
            </w:r>
          </w:p>
        </w:tc>
        <w:tc>
          <w:tcPr>
            <w:tcW w:w="3180" w:type="dxa"/>
            <w:tcBorders>
              <w:top w:val="single" w:sz="4" w:space="0" w:color="000000"/>
              <w:left w:val="single" w:sz="4" w:space="0" w:color="000000"/>
            </w:tcBorders>
            <w:shd w:val="clear" w:color="auto" w:fill="FFFFFF"/>
            <w:tcMar>
              <w:top w:w="0" w:type="dxa"/>
              <w:bottom w:w="0" w:type="dxa"/>
            </w:tcMar>
          </w:tcPr>
          <w:p w14:paraId="0C61BFB4"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Production volume</w:t>
            </w:r>
          </w:p>
        </w:tc>
        <w:tc>
          <w:tcPr>
            <w:tcW w:w="1650" w:type="dxa"/>
            <w:tcBorders>
              <w:top w:val="single" w:sz="4" w:space="0" w:color="000000"/>
              <w:left w:val="single" w:sz="4" w:space="0" w:color="000000"/>
            </w:tcBorders>
            <w:shd w:val="clear" w:color="auto" w:fill="FFFFFF"/>
            <w:tcMar>
              <w:top w:w="0" w:type="dxa"/>
              <w:bottom w:w="0" w:type="dxa"/>
            </w:tcMar>
            <w:vAlign w:val="center"/>
          </w:tcPr>
          <w:p w14:paraId="1D04267F" w14:textId="77777777" w:rsidR="007234A9" w:rsidRDefault="001E4911">
            <w:pPr>
              <w:spacing w:after="120" w:line="360" w:lineRule="auto"/>
              <w:rPr>
                <w:rFonts w:ascii="Arial" w:eastAsia="Arial" w:hAnsi="Arial" w:cs="Arial"/>
                <w:sz w:val="20"/>
                <w:szCs w:val="20"/>
              </w:rPr>
            </w:pPr>
            <w:r>
              <w:rPr>
                <w:rFonts w:ascii="Arial" w:hAnsi="Arial"/>
                <w:sz w:val="20"/>
              </w:rPr>
              <w:t>Tons</w:t>
            </w:r>
          </w:p>
        </w:tc>
        <w:tc>
          <w:tcPr>
            <w:tcW w:w="1980" w:type="dxa"/>
            <w:tcBorders>
              <w:top w:val="single" w:sz="4" w:space="0" w:color="000000"/>
              <w:left w:val="single" w:sz="4" w:space="0" w:color="000000"/>
            </w:tcBorders>
            <w:shd w:val="clear" w:color="auto" w:fill="FFFFFF"/>
            <w:tcMar>
              <w:top w:w="0" w:type="dxa"/>
              <w:bottom w:w="0" w:type="dxa"/>
            </w:tcMar>
            <w:vAlign w:val="center"/>
          </w:tcPr>
          <w:p w14:paraId="4345A244"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108,500</w:t>
            </w:r>
          </w:p>
        </w:tc>
        <w:tc>
          <w:tcPr>
            <w:tcW w:w="1545" w:type="dxa"/>
            <w:tcBorders>
              <w:top w:val="single" w:sz="4" w:space="0" w:color="000000"/>
              <w:left w:val="single" w:sz="4" w:space="0" w:color="000000"/>
              <w:right w:val="single" w:sz="4" w:space="0" w:color="000000"/>
            </w:tcBorders>
            <w:shd w:val="clear" w:color="auto" w:fill="FFFFFF"/>
            <w:tcMar>
              <w:top w:w="0" w:type="dxa"/>
              <w:bottom w:w="0" w:type="dxa"/>
            </w:tcMar>
          </w:tcPr>
          <w:p w14:paraId="616ED328" w14:textId="77777777" w:rsidR="007234A9" w:rsidRDefault="007234A9">
            <w:pPr>
              <w:spacing w:after="120" w:line="360" w:lineRule="auto"/>
              <w:rPr>
                <w:rFonts w:ascii="Arial" w:eastAsia="Arial" w:hAnsi="Arial" w:cs="Arial"/>
                <w:sz w:val="20"/>
                <w:szCs w:val="20"/>
              </w:rPr>
            </w:pPr>
          </w:p>
        </w:tc>
      </w:tr>
      <w:tr w:rsidR="007234A9" w14:paraId="1CC8434C" w14:textId="77777777">
        <w:trPr>
          <w:trHeight w:val="586"/>
        </w:trPr>
        <w:tc>
          <w:tcPr>
            <w:tcW w:w="645" w:type="dxa"/>
            <w:tcBorders>
              <w:top w:val="single" w:sz="4" w:space="0" w:color="000000"/>
              <w:left w:val="single" w:sz="4" w:space="0" w:color="000000"/>
            </w:tcBorders>
            <w:shd w:val="clear" w:color="auto" w:fill="FFFFFF"/>
            <w:tcMar>
              <w:top w:w="0" w:type="dxa"/>
              <w:bottom w:w="0" w:type="dxa"/>
            </w:tcMar>
            <w:vAlign w:val="center"/>
          </w:tcPr>
          <w:p w14:paraId="7F85A660"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3</w:t>
            </w:r>
          </w:p>
        </w:tc>
        <w:tc>
          <w:tcPr>
            <w:tcW w:w="3180" w:type="dxa"/>
            <w:tcBorders>
              <w:top w:val="single" w:sz="4" w:space="0" w:color="000000"/>
              <w:left w:val="single" w:sz="4" w:space="0" w:color="000000"/>
            </w:tcBorders>
            <w:shd w:val="clear" w:color="auto" w:fill="FFFFFF"/>
            <w:tcMar>
              <w:top w:w="0" w:type="dxa"/>
              <w:bottom w:w="0" w:type="dxa"/>
            </w:tcMar>
            <w:vAlign w:val="center"/>
          </w:tcPr>
          <w:p w14:paraId="454C9B59"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Sale volume</w:t>
            </w:r>
          </w:p>
        </w:tc>
        <w:tc>
          <w:tcPr>
            <w:tcW w:w="1650" w:type="dxa"/>
            <w:tcBorders>
              <w:top w:val="single" w:sz="4" w:space="0" w:color="000000"/>
              <w:left w:val="single" w:sz="4" w:space="0" w:color="000000"/>
            </w:tcBorders>
            <w:shd w:val="clear" w:color="auto" w:fill="FFFFFF"/>
            <w:tcMar>
              <w:top w:w="0" w:type="dxa"/>
              <w:bottom w:w="0" w:type="dxa"/>
            </w:tcMar>
            <w:vAlign w:val="center"/>
          </w:tcPr>
          <w:p w14:paraId="26F08385" w14:textId="77777777" w:rsidR="007234A9" w:rsidRDefault="001E4911">
            <w:pPr>
              <w:spacing w:after="120" w:line="360" w:lineRule="auto"/>
              <w:rPr>
                <w:rFonts w:ascii="Arial" w:eastAsia="Arial" w:hAnsi="Arial" w:cs="Arial"/>
                <w:sz w:val="20"/>
                <w:szCs w:val="20"/>
              </w:rPr>
            </w:pPr>
            <w:r>
              <w:rPr>
                <w:rFonts w:ascii="Arial" w:hAnsi="Arial"/>
                <w:sz w:val="20"/>
              </w:rPr>
              <w:t>Tons</w:t>
            </w:r>
          </w:p>
        </w:tc>
        <w:tc>
          <w:tcPr>
            <w:tcW w:w="1980" w:type="dxa"/>
            <w:tcBorders>
              <w:top w:val="single" w:sz="4" w:space="0" w:color="000000"/>
              <w:left w:val="single" w:sz="4" w:space="0" w:color="000000"/>
            </w:tcBorders>
            <w:shd w:val="clear" w:color="auto" w:fill="FFFFFF"/>
            <w:tcMar>
              <w:top w:w="0" w:type="dxa"/>
              <w:bottom w:w="0" w:type="dxa"/>
            </w:tcMar>
            <w:vAlign w:val="center"/>
          </w:tcPr>
          <w:p w14:paraId="73F24527"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108,500</w:t>
            </w:r>
          </w:p>
        </w:tc>
        <w:tc>
          <w:tcPr>
            <w:tcW w:w="1545" w:type="dxa"/>
            <w:tcBorders>
              <w:top w:val="single" w:sz="4" w:space="0" w:color="000000"/>
              <w:left w:val="single" w:sz="4" w:space="0" w:color="000000"/>
              <w:right w:val="single" w:sz="4" w:space="0" w:color="000000"/>
            </w:tcBorders>
            <w:shd w:val="clear" w:color="auto" w:fill="FFFFFF"/>
            <w:tcMar>
              <w:top w:w="0" w:type="dxa"/>
              <w:bottom w:w="0" w:type="dxa"/>
            </w:tcMar>
          </w:tcPr>
          <w:p w14:paraId="3053E015" w14:textId="77777777" w:rsidR="007234A9" w:rsidRDefault="007234A9">
            <w:pPr>
              <w:spacing w:after="120" w:line="360" w:lineRule="auto"/>
              <w:rPr>
                <w:rFonts w:ascii="Arial" w:eastAsia="Arial" w:hAnsi="Arial" w:cs="Arial"/>
                <w:sz w:val="20"/>
                <w:szCs w:val="20"/>
              </w:rPr>
            </w:pPr>
          </w:p>
        </w:tc>
      </w:tr>
      <w:tr w:rsidR="007234A9" w14:paraId="3BD3A10A" w14:textId="77777777">
        <w:trPr>
          <w:trHeight w:val="614"/>
        </w:trPr>
        <w:tc>
          <w:tcPr>
            <w:tcW w:w="645" w:type="dxa"/>
            <w:tcBorders>
              <w:top w:val="single" w:sz="4" w:space="0" w:color="000000"/>
              <w:left w:val="single" w:sz="4" w:space="0" w:color="000000"/>
            </w:tcBorders>
            <w:shd w:val="clear" w:color="auto" w:fill="FFFFFF"/>
            <w:tcMar>
              <w:top w:w="0" w:type="dxa"/>
              <w:bottom w:w="0" w:type="dxa"/>
            </w:tcMar>
            <w:vAlign w:val="center"/>
          </w:tcPr>
          <w:p w14:paraId="49CA80E4"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4</w:t>
            </w:r>
          </w:p>
        </w:tc>
        <w:tc>
          <w:tcPr>
            <w:tcW w:w="3180" w:type="dxa"/>
            <w:tcBorders>
              <w:top w:val="single" w:sz="4" w:space="0" w:color="000000"/>
              <w:left w:val="single" w:sz="4" w:space="0" w:color="000000"/>
            </w:tcBorders>
            <w:shd w:val="clear" w:color="auto" w:fill="FFFFFF"/>
            <w:tcMar>
              <w:top w:w="0" w:type="dxa"/>
              <w:bottom w:w="0" w:type="dxa"/>
            </w:tcMar>
            <w:vAlign w:val="center"/>
          </w:tcPr>
          <w:p w14:paraId="78BF9333"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Revenue</w:t>
            </w:r>
          </w:p>
        </w:tc>
        <w:tc>
          <w:tcPr>
            <w:tcW w:w="1650" w:type="dxa"/>
            <w:tcBorders>
              <w:top w:val="single" w:sz="4" w:space="0" w:color="000000"/>
              <w:left w:val="single" w:sz="4" w:space="0" w:color="000000"/>
            </w:tcBorders>
            <w:shd w:val="clear" w:color="auto" w:fill="FFFFFF"/>
            <w:tcMar>
              <w:top w:w="0" w:type="dxa"/>
              <w:bottom w:w="0" w:type="dxa"/>
            </w:tcMar>
            <w:vAlign w:val="center"/>
          </w:tcPr>
          <w:p w14:paraId="687F0CB4"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Million VND</w:t>
            </w:r>
          </w:p>
        </w:tc>
        <w:tc>
          <w:tcPr>
            <w:tcW w:w="1980" w:type="dxa"/>
            <w:tcBorders>
              <w:top w:val="single" w:sz="4" w:space="0" w:color="000000"/>
              <w:left w:val="single" w:sz="4" w:space="0" w:color="000000"/>
            </w:tcBorders>
            <w:shd w:val="clear" w:color="auto" w:fill="FFFFFF"/>
            <w:tcMar>
              <w:top w:w="0" w:type="dxa"/>
              <w:bottom w:w="0" w:type="dxa"/>
            </w:tcMar>
            <w:vAlign w:val="center"/>
          </w:tcPr>
          <w:p w14:paraId="6D1734EC"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157,874</w:t>
            </w:r>
          </w:p>
        </w:tc>
        <w:tc>
          <w:tcPr>
            <w:tcW w:w="1545" w:type="dxa"/>
            <w:tcBorders>
              <w:top w:val="single" w:sz="4" w:space="0" w:color="000000"/>
              <w:left w:val="single" w:sz="4" w:space="0" w:color="000000"/>
              <w:right w:val="single" w:sz="4" w:space="0" w:color="000000"/>
            </w:tcBorders>
            <w:shd w:val="clear" w:color="auto" w:fill="FFFFFF"/>
            <w:tcMar>
              <w:top w:w="0" w:type="dxa"/>
              <w:bottom w:w="0" w:type="dxa"/>
            </w:tcMar>
          </w:tcPr>
          <w:p w14:paraId="2E563247" w14:textId="77777777" w:rsidR="007234A9" w:rsidRDefault="007234A9">
            <w:pPr>
              <w:spacing w:after="120" w:line="360" w:lineRule="auto"/>
              <w:rPr>
                <w:rFonts w:ascii="Arial" w:eastAsia="Arial" w:hAnsi="Arial" w:cs="Arial"/>
                <w:sz w:val="20"/>
                <w:szCs w:val="20"/>
              </w:rPr>
            </w:pPr>
          </w:p>
        </w:tc>
      </w:tr>
      <w:tr w:rsidR="007234A9" w14:paraId="5BBCD958" w14:textId="77777777">
        <w:trPr>
          <w:trHeight w:val="610"/>
        </w:trPr>
        <w:tc>
          <w:tcPr>
            <w:tcW w:w="645" w:type="dxa"/>
            <w:tcBorders>
              <w:top w:val="single" w:sz="4" w:space="0" w:color="000000"/>
              <w:left w:val="single" w:sz="4" w:space="0" w:color="000000"/>
            </w:tcBorders>
            <w:shd w:val="clear" w:color="auto" w:fill="FFFFFF"/>
            <w:tcMar>
              <w:top w:w="0" w:type="dxa"/>
              <w:bottom w:w="0" w:type="dxa"/>
            </w:tcMar>
            <w:vAlign w:val="center"/>
          </w:tcPr>
          <w:p w14:paraId="40D5CEE8"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5</w:t>
            </w:r>
          </w:p>
        </w:tc>
        <w:tc>
          <w:tcPr>
            <w:tcW w:w="3180" w:type="dxa"/>
            <w:tcBorders>
              <w:top w:val="single" w:sz="4" w:space="0" w:color="000000"/>
              <w:left w:val="single" w:sz="4" w:space="0" w:color="000000"/>
            </w:tcBorders>
            <w:shd w:val="clear" w:color="auto" w:fill="FFFFFF"/>
            <w:tcMar>
              <w:top w:w="0" w:type="dxa"/>
              <w:bottom w:w="0" w:type="dxa"/>
            </w:tcMar>
            <w:vAlign w:val="center"/>
          </w:tcPr>
          <w:p w14:paraId="656F5EB0"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before tax</w:t>
            </w:r>
          </w:p>
        </w:tc>
        <w:tc>
          <w:tcPr>
            <w:tcW w:w="1650" w:type="dxa"/>
            <w:tcBorders>
              <w:top w:val="single" w:sz="4" w:space="0" w:color="000000"/>
              <w:left w:val="single" w:sz="4" w:space="0" w:color="000000"/>
            </w:tcBorders>
            <w:shd w:val="clear" w:color="auto" w:fill="FFFFFF"/>
            <w:tcMar>
              <w:top w:w="0" w:type="dxa"/>
              <w:bottom w:w="0" w:type="dxa"/>
            </w:tcMar>
            <w:vAlign w:val="center"/>
          </w:tcPr>
          <w:p w14:paraId="7C907FEB" w14:textId="77777777" w:rsidR="007234A9" w:rsidRDefault="001E4911">
            <w:pPr>
              <w:spacing w:after="120" w:line="360" w:lineRule="auto"/>
              <w:rPr>
                <w:rFonts w:ascii="Arial" w:eastAsia="Arial" w:hAnsi="Arial" w:cs="Arial"/>
                <w:sz w:val="20"/>
                <w:szCs w:val="20"/>
              </w:rPr>
            </w:pPr>
            <w:r>
              <w:rPr>
                <w:rFonts w:ascii="Arial" w:hAnsi="Arial"/>
                <w:sz w:val="20"/>
              </w:rPr>
              <w:t>Million VND</w:t>
            </w:r>
          </w:p>
        </w:tc>
        <w:tc>
          <w:tcPr>
            <w:tcW w:w="1980" w:type="dxa"/>
            <w:tcBorders>
              <w:top w:val="single" w:sz="4" w:space="0" w:color="000000"/>
              <w:left w:val="single" w:sz="4" w:space="0" w:color="000000"/>
            </w:tcBorders>
            <w:shd w:val="clear" w:color="auto" w:fill="FFFFFF"/>
            <w:tcMar>
              <w:top w:w="0" w:type="dxa"/>
              <w:bottom w:w="0" w:type="dxa"/>
            </w:tcMar>
            <w:vAlign w:val="center"/>
          </w:tcPr>
          <w:p w14:paraId="4E884F7C"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7,889</w:t>
            </w:r>
          </w:p>
        </w:tc>
        <w:tc>
          <w:tcPr>
            <w:tcW w:w="1545" w:type="dxa"/>
            <w:tcBorders>
              <w:top w:val="single" w:sz="4" w:space="0" w:color="000000"/>
              <w:left w:val="single" w:sz="4" w:space="0" w:color="000000"/>
              <w:right w:val="single" w:sz="4" w:space="0" w:color="000000"/>
            </w:tcBorders>
            <w:shd w:val="clear" w:color="auto" w:fill="FFFFFF"/>
            <w:tcMar>
              <w:top w:w="0" w:type="dxa"/>
              <w:bottom w:w="0" w:type="dxa"/>
            </w:tcMar>
          </w:tcPr>
          <w:p w14:paraId="5E5E1E4A" w14:textId="77777777" w:rsidR="007234A9" w:rsidRDefault="007234A9">
            <w:pPr>
              <w:spacing w:after="120" w:line="360" w:lineRule="auto"/>
              <w:rPr>
                <w:rFonts w:ascii="Arial" w:eastAsia="Arial" w:hAnsi="Arial" w:cs="Arial"/>
                <w:sz w:val="20"/>
                <w:szCs w:val="20"/>
              </w:rPr>
            </w:pPr>
          </w:p>
        </w:tc>
      </w:tr>
      <w:tr w:rsidR="007234A9" w14:paraId="5DAD95CB" w14:textId="77777777">
        <w:trPr>
          <w:trHeight w:val="586"/>
        </w:trPr>
        <w:tc>
          <w:tcPr>
            <w:tcW w:w="645" w:type="dxa"/>
            <w:tcBorders>
              <w:top w:val="single" w:sz="4" w:space="0" w:color="000000"/>
              <w:left w:val="single" w:sz="4" w:space="0" w:color="000000"/>
            </w:tcBorders>
            <w:shd w:val="clear" w:color="auto" w:fill="FFFFFF"/>
            <w:tcMar>
              <w:top w:w="0" w:type="dxa"/>
              <w:bottom w:w="0" w:type="dxa"/>
            </w:tcMar>
            <w:vAlign w:val="center"/>
          </w:tcPr>
          <w:p w14:paraId="76EAE459"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6</w:t>
            </w:r>
          </w:p>
        </w:tc>
        <w:tc>
          <w:tcPr>
            <w:tcW w:w="3180" w:type="dxa"/>
            <w:tcBorders>
              <w:top w:val="single" w:sz="4" w:space="0" w:color="000000"/>
              <w:left w:val="single" w:sz="4" w:space="0" w:color="000000"/>
            </w:tcBorders>
            <w:shd w:val="clear" w:color="auto" w:fill="FFFFFF"/>
            <w:tcMar>
              <w:top w:w="0" w:type="dxa"/>
              <w:bottom w:w="0" w:type="dxa"/>
            </w:tcMar>
          </w:tcPr>
          <w:p w14:paraId="2C47334D"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after tax</w:t>
            </w:r>
          </w:p>
        </w:tc>
        <w:tc>
          <w:tcPr>
            <w:tcW w:w="1650" w:type="dxa"/>
            <w:tcBorders>
              <w:top w:val="single" w:sz="4" w:space="0" w:color="000000"/>
              <w:left w:val="single" w:sz="4" w:space="0" w:color="000000"/>
            </w:tcBorders>
            <w:shd w:val="clear" w:color="auto" w:fill="FFFFFF"/>
            <w:tcMar>
              <w:top w:w="0" w:type="dxa"/>
              <w:bottom w:w="0" w:type="dxa"/>
            </w:tcMar>
            <w:vAlign w:val="center"/>
          </w:tcPr>
          <w:p w14:paraId="4287EC4F" w14:textId="77777777" w:rsidR="007234A9" w:rsidRDefault="001E4911">
            <w:pPr>
              <w:spacing w:after="120" w:line="360" w:lineRule="auto"/>
              <w:rPr>
                <w:rFonts w:ascii="Arial" w:eastAsia="Arial" w:hAnsi="Arial" w:cs="Arial"/>
                <w:sz w:val="20"/>
                <w:szCs w:val="20"/>
              </w:rPr>
            </w:pPr>
            <w:r>
              <w:rPr>
                <w:rFonts w:ascii="Arial" w:hAnsi="Arial"/>
                <w:sz w:val="20"/>
              </w:rPr>
              <w:t>Million VND</w:t>
            </w:r>
          </w:p>
        </w:tc>
        <w:tc>
          <w:tcPr>
            <w:tcW w:w="1980" w:type="dxa"/>
            <w:tcBorders>
              <w:top w:val="single" w:sz="4" w:space="0" w:color="000000"/>
              <w:left w:val="single" w:sz="4" w:space="0" w:color="000000"/>
            </w:tcBorders>
            <w:shd w:val="clear" w:color="auto" w:fill="FFFFFF"/>
            <w:tcMar>
              <w:top w:w="0" w:type="dxa"/>
              <w:bottom w:w="0" w:type="dxa"/>
            </w:tcMar>
            <w:vAlign w:val="center"/>
          </w:tcPr>
          <w:p w14:paraId="73817CA5"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6,206</w:t>
            </w:r>
          </w:p>
        </w:tc>
        <w:tc>
          <w:tcPr>
            <w:tcW w:w="1545" w:type="dxa"/>
            <w:tcBorders>
              <w:top w:val="single" w:sz="4" w:space="0" w:color="000000"/>
              <w:left w:val="single" w:sz="4" w:space="0" w:color="000000"/>
              <w:right w:val="single" w:sz="4" w:space="0" w:color="000000"/>
            </w:tcBorders>
            <w:shd w:val="clear" w:color="auto" w:fill="FFFFFF"/>
            <w:tcMar>
              <w:top w:w="0" w:type="dxa"/>
              <w:bottom w:w="0" w:type="dxa"/>
            </w:tcMar>
          </w:tcPr>
          <w:p w14:paraId="4997C000" w14:textId="77777777" w:rsidR="007234A9" w:rsidRDefault="007234A9">
            <w:pPr>
              <w:spacing w:after="120" w:line="360" w:lineRule="auto"/>
              <w:rPr>
                <w:rFonts w:ascii="Arial" w:eastAsia="Arial" w:hAnsi="Arial" w:cs="Arial"/>
                <w:sz w:val="20"/>
                <w:szCs w:val="20"/>
              </w:rPr>
            </w:pPr>
          </w:p>
        </w:tc>
      </w:tr>
      <w:tr w:rsidR="007234A9" w14:paraId="291B15C6" w14:textId="77777777">
        <w:trPr>
          <w:trHeight w:val="586"/>
        </w:trPr>
        <w:tc>
          <w:tcPr>
            <w:tcW w:w="645" w:type="dxa"/>
            <w:tcBorders>
              <w:top w:val="single" w:sz="4" w:space="0" w:color="000000"/>
              <w:left w:val="single" w:sz="4" w:space="0" w:color="000000"/>
            </w:tcBorders>
            <w:shd w:val="clear" w:color="auto" w:fill="FFFFFF"/>
            <w:tcMar>
              <w:top w:w="0" w:type="dxa"/>
              <w:bottom w:w="0" w:type="dxa"/>
            </w:tcMar>
            <w:vAlign w:val="center"/>
          </w:tcPr>
          <w:p w14:paraId="675865C2"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7</w:t>
            </w:r>
          </w:p>
        </w:tc>
        <w:tc>
          <w:tcPr>
            <w:tcW w:w="3180" w:type="dxa"/>
            <w:tcBorders>
              <w:top w:val="single" w:sz="4" w:space="0" w:color="000000"/>
              <w:left w:val="single" w:sz="4" w:space="0" w:color="000000"/>
            </w:tcBorders>
            <w:shd w:val="clear" w:color="auto" w:fill="FFFFFF"/>
            <w:tcMar>
              <w:top w:w="0" w:type="dxa"/>
              <w:bottom w:w="0" w:type="dxa"/>
            </w:tcMar>
            <w:vAlign w:val="center"/>
          </w:tcPr>
          <w:p w14:paraId="4544BB96"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Payable to state budget</w:t>
            </w:r>
          </w:p>
        </w:tc>
        <w:tc>
          <w:tcPr>
            <w:tcW w:w="1650" w:type="dxa"/>
            <w:tcBorders>
              <w:top w:val="single" w:sz="4" w:space="0" w:color="000000"/>
              <w:left w:val="single" w:sz="4" w:space="0" w:color="000000"/>
            </w:tcBorders>
            <w:shd w:val="clear" w:color="auto" w:fill="FFFFFF"/>
            <w:tcMar>
              <w:top w:w="0" w:type="dxa"/>
              <w:bottom w:w="0" w:type="dxa"/>
            </w:tcMar>
            <w:vAlign w:val="center"/>
          </w:tcPr>
          <w:p w14:paraId="78DD49D9" w14:textId="77777777" w:rsidR="007234A9" w:rsidRDefault="001E4911">
            <w:pPr>
              <w:spacing w:after="120" w:line="360" w:lineRule="auto"/>
              <w:rPr>
                <w:rFonts w:ascii="Arial" w:eastAsia="Arial" w:hAnsi="Arial" w:cs="Arial"/>
                <w:sz w:val="20"/>
                <w:szCs w:val="20"/>
              </w:rPr>
            </w:pPr>
            <w:r>
              <w:rPr>
                <w:rFonts w:ascii="Arial" w:hAnsi="Arial"/>
                <w:sz w:val="20"/>
              </w:rPr>
              <w:t>Million VND</w:t>
            </w:r>
          </w:p>
        </w:tc>
        <w:tc>
          <w:tcPr>
            <w:tcW w:w="1980" w:type="dxa"/>
            <w:tcBorders>
              <w:top w:val="single" w:sz="4" w:space="0" w:color="000000"/>
              <w:left w:val="single" w:sz="4" w:space="0" w:color="000000"/>
            </w:tcBorders>
            <w:shd w:val="clear" w:color="auto" w:fill="FFFFFF"/>
            <w:tcMar>
              <w:top w:w="0" w:type="dxa"/>
              <w:bottom w:w="0" w:type="dxa"/>
            </w:tcMar>
            <w:vAlign w:val="center"/>
          </w:tcPr>
          <w:p w14:paraId="5C66FA4C"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9,306</w:t>
            </w:r>
          </w:p>
        </w:tc>
        <w:tc>
          <w:tcPr>
            <w:tcW w:w="1545" w:type="dxa"/>
            <w:tcBorders>
              <w:top w:val="single" w:sz="4" w:space="0" w:color="000000"/>
              <w:left w:val="single" w:sz="4" w:space="0" w:color="000000"/>
              <w:right w:val="single" w:sz="4" w:space="0" w:color="000000"/>
            </w:tcBorders>
            <w:shd w:val="clear" w:color="auto" w:fill="FFFFFF"/>
            <w:tcMar>
              <w:top w:w="0" w:type="dxa"/>
              <w:bottom w:w="0" w:type="dxa"/>
            </w:tcMar>
          </w:tcPr>
          <w:p w14:paraId="759D282C" w14:textId="77777777" w:rsidR="007234A9" w:rsidRDefault="007234A9">
            <w:pPr>
              <w:spacing w:after="120" w:line="360" w:lineRule="auto"/>
              <w:rPr>
                <w:rFonts w:ascii="Arial" w:eastAsia="Arial" w:hAnsi="Arial" w:cs="Arial"/>
                <w:sz w:val="20"/>
                <w:szCs w:val="20"/>
              </w:rPr>
            </w:pPr>
          </w:p>
        </w:tc>
      </w:tr>
      <w:tr w:rsidR="007234A9" w14:paraId="5E4BD776" w14:textId="77777777">
        <w:trPr>
          <w:trHeight w:val="872"/>
        </w:trPr>
        <w:tc>
          <w:tcPr>
            <w:tcW w:w="645"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14:paraId="0F1F1517"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8</w:t>
            </w:r>
          </w:p>
        </w:tc>
        <w:tc>
          <w:tcPr>
            <w:tcW w:w="3180"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14:paraId="3678C3C3"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Average income of employees</w:t>
            </w:r>
          </w:p>
        </w:tc>
        <w:tc>
          <w:tcPr>
            <w:tcW w:w="1650" w:type="dxa"/>
            <w:tcBorders>
              <w:top w:val="single" w:sz="4" w:space="0" w:color="000000"/>
              <w:left w:val="single" w:sz="4" w:space="0" w:color="000000"/>
              <w:bottom w:val="single" w:sz="4" w:space="0" w:color="000000"/>
            </w:tcBorders>
            <w:shd w:val="clear" w:color="auto" w:fill="FFFFFF"/>
            <w:tcMar>
              <w:top w:w="0" w:type="dxa"/>
              <w:bottom w:w="0" w:type="dxa"/>
            </w:tcMar>
          </w:tcPr>
          <w:p w14:paraId="51FAD05A"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Million VND/person</w:t>
            </w:r>
          </w:p>
        </w:tc>
        <w:tc>
          <w:tcPr>
            <w:tcW w:w="1980"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14:paraId="1E17F599"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10.98</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835AD73" w14:textId="77777777" w:rsidR="007234A9" w:rsidRDefault="007234A9">
            <w:pPr>
              <w:spacing w:after="120" w:line="360" w:lineRule="auto"/>
              <w:rPr>
                <w:rFonts w:ascii="Arial" w:eastAsia="Arial" w:hAnsi="Arial" w:cs="Arial"/>
                <w:sz w:val="20"/>
                <w:szCs w:val="20"/>
              </w:rPr>
            </w:pPr>
          </w:p>
        </w:tc>
      </w:tr>
    </w:tbl>
    <w:p w14:paraId="1E95BD09"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‎‎Article 3. Approve the Report on activities of the Board of Directors 2023, orientation 2024.</w:t>
      </w:r>
    </w:p>
    <w:p w14:paraId="7181BCB6"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2023 Results</w:t>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465"/>
        <w:gridCol w:w="2040"/>
        <w:gridCol w:w="1140"/>
        <w:gridCol w:w="1110"/>
        <w:gridCol w:w="990"/>
        <w:gridCol w:w="990"/>
        <w:gridCol w:w="2130"/>
      </w:tblGrid>
      <w:tr w:rsidR="007234A9" w14:paraId="673274E6" w14:textId="77777777">
        <w:trPr>
          <w:trHeight w:val="435"/>
        </w:trPr>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18609" w14:textId="77777777" w:rsidR="007234A9" w:rsidRDefault="001E4911">
            <w:pPr>
              <w:spacing w:before="240" w:after="120" w:line="360" w:lineRule="auto"/>
              <w:rPr>
                <w:rFonts w:ascii="Arial" w:eastAsia="Arial" w:hAnsi="Arial" w:cs="Arial"/>
                <w:sz w:val="20"/>
                <w:szCs w:val="20"/>
              </w:rPr>
            </w:pPr>
            <w:r>
              <w:rPr>
                <w:rFonts w:ascii="Arial" w:hAnsi="Arial"/>
                <w:sz w:val="20"/>
              </w:rPr>
              <w:t>No.</w:t>
            </w:r>
          </w:p>
        </w:tc>
        <w:tc>
          <w:tcPr>
            <w:tcW w:w="20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1BEFBABF" w14:textId="77777777" w:rsidR="007234A9" w:rsidRDefault="001E4911">
            <w:pPr>
              <w:spacing w:before="240" w:after="120" w:line="360" w:lineRule="auto"/>
              <w:rPr>
                <w:rFonts w:ascii="Arial" w:eastAsia="Arial" w:hAnsi="Arial" w:cs="Arial"/>
                <w:sz w:val="20"/>
                <w:szCs w:val="20"/>
              </w:rPr>
            </w:pPr>
            <w:r>
              <w:rPr>
                <w:rFonts w:ascii="Arial" w:hAnsi="Arial"/>
                <w:sz w:val="20"/>
              </w:rPr>
              <w:t>Target</w:t>
            </w:r>
          </w:p>
        </w:tc>
        <w:tc>
          <w:tcPr>
            <w:tcW w:w="11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6DC030F" w14:textId="77777777" w:rsidR="007234A9" w:rsidRDefault="001E4911">
            <w:pPr>
              <w:spacing w:before="240" w:after="120" w:line="360" w:lineRule="auto"/>
              <w:rPr>
                <w:rFonts w:ascii="Arial" w:eastAsia="Arial" w:hAnsi="Arial" w:cs="Arial"/>
                <w:sz w:val="20"/>
                <w:szCs w:val="20"/>
              </w:rPr>
            </w:pPr>
            <w:r>
              <w:rPr>
                <w:rFonts w:ascii="Arial" w:hAnsi="Arial"/>
                <w:sz w:val="20"/>
              </w:rPr>
              <w:t>Unit</w:t>
            </w:r>
          </w:p>
        </w:tc>
        <w:tc>
          <w:tcPr>
            <w:tcW w:w="111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516E2FD7" w14:textId="72BF6A25" w:rsidR="007234A9" w:rsidRDefault="001E4911">
            <w:pPr>
              <w:spacing w:before="240" w:after="120" w:line="360" w:lineRule="auto"/>
              <w:rPr>
                <w:rFonts w:ascii="Arial" w:eastAsia="Arial" w:hAnsi="Arial" w:cs="Arial"/>
                <w:sz w:val="20"/>
                <w:szCs w:val="20"/>
              </w:rPr>
            </w:pPr>
            <w:r>
              <w:rPr>
                <w:rFonts w:ascii="Arial" w:hAnsi="Arial"/>
                <w:sz w:val="20"/>
              </w:rPr>
              <w:t>Plan</w:t>
            </w:r>
            <w:r w:rsidR="002009BA">
              <w:rPr>
                <w:rFonts w:ascii="Arial" w:hAnsi="Arial"/>
                <w:sz w:val="20"/>
              </w:rPr>
              <w:t xml:space="preserve"> 2023</w:t>
            </w:r>
          </w:p>
        </w:tc>
        <w:tc>
          <w:tcPr>
            <w:tcW w:w="99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0B2E1956" w14:textId="01E4523B" w:rsidR="007234A9" w:rsidRDefault="001E4911">
            <w:pPr>
              <w:spacing w:before="240" w:after="120" w:line="360" w:lineRule="auto"/>
              <w:rPr>
                <w:rFonts w:ascii="Arial" w:eastAsia="Arial" w:hAnsi="Arial" w:cs="Arial"/>
                <w:sz w:val="20"/>
                <w:szCs w:val="20"/>
              </w:rPr>
            </w:pPr>
            <w:r>
              <w:rPr>
                <w:rFonts w:ascii="Arial" w:hAnsi="Arial"/>
                <w:sz w:val="20"/>
              </w:rPr>
              <w:t>Result</w:t>
            </w:r>
            <w:r w:rsidR="002009BA">
              <w:rPr>
                <w:rFonts w:ascii="Arial" w:hAnsi="Arial"/>
                <w:sz w:val="20"/>
              </w:rPr>
              <w:t>s 2023</w:t>
            </w:r>
          </w:p>
        </w:tc>
        <w:tc>
          <w:tcPr>
            <w:tcW w:w="99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028E9DA3" w14:textId="2F33556F" w:rsidR="007234A9" w:rsidRDefault="001E4911">
            <w:pPr>
              <w:spacing w:before="240" w:after="120" w:line="360" w:lineRule="auto"/>
              <w:rPr>
                <w:rFonts w:ascii="Arial" w:eastAsia="Arial" w:hAnsi="Arial" w:cs="Arial"/>
                <w:sz w:val="20"/>
                <w:szCs w:val="20"/>
              </w:rPr>
            </w:pPr>
            <w:r>
              <w:rPr>
                <w:rFonts w:ascii="Arial" w:hAnsi="Arial"/>
                <w:sz w:val="20"/>
              </w:rPr>
              <w:t>Result</w:t>
            </w:r>
            <w:r w:rsidR="002009BA">
              <w:rPr>
                <w:rFonts w:ascii="Arial" w:hAnsi="Arial"/>
                <w:sz w:val="20"/>
              </w:rPr>
              <w:t>s</w:t>
            </w:r>
            <w:r>
              <w:rPr>
                <w:rFonts w:ascii="Arial" w:hAnsi="Arial"/>
                <w:sz w:val="20"/>
              </w:rPr>
              <w:t>/Plan (%)</w:t>
            </w:r>
          </w:p>
        </w:tc>
        <w:tc>
          <w:tcPr>
            <w:tcW w:w="213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34421BD4" w14:textId="77777777" w:rsidR="007234A9" w:rsidRDefault="001E4911">
            <w:pPr>
              <w:spacing w:before="240" w:after="120" w:line="360" w:lineRule="auto"/>
              <w:rPr>
                <w:rFonts w:ascii="Arial" w:eastAsia="Arial" w:hAnsi="Arial" w:cs="Arial"/>
                <w:sz w:val="20"/>
                <w:szCs w:val="20"/>
              </w:rPr>
            </w:pPr>
            <w:r>
              <w:rPr>
                <w:rFonts w:ascii="Arial" w:hAnsi="Arial"/>
                <w:sz w:val="20"/>
              </w:rPr>
              <w:t>Note</w:t>
            </w:r>
          </w:p>
        </w:tc>
      </w:tr>
      <w:tr w:rsidR="007234A9" w14:paraId="0D7E638C" w14:textId="77777777">
        <w:trPr>
          <w:trHeight w:val="735"/>
        </w:trPr>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5BB8714" w14:textId="77777777" w:rsidR="007234A9" w:rsidRDefault="001E4911">
            <w:pPr>
              <w:spacing w:before="240" w:after="120" w:line="360" w:lineRule="auto"/>
              <w:rPr>
                <w:rFonts w:ascii="Arial" w:eastAsia="Arial" w:hAnsi="Arial" w:cs="Arial"/>
                <w:sz w:val="20"/>
                <w:szCs w:val="20"/>
              </w:rPr>
            </w:pPr>
            <w:r>
              <w:rPr>
                <w:rFonts w:ascii="Arial" w:hAnsi="Arial"/>
                <w:sz w:val="20"/>
              </w:rPr>
              <w:t>1</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5639D6D7" w14:textId="77777777" w:rsidR="007234A9" w:rsidRDefault="001E4911">
            <w:pPr>
              <w:spacing w:before="240" w:after="120" w:line="360" w:lineRule="auto"/>
              <w:rPr>
                <w:rFonts w:ascii="Arial" w:eastAsia="Arial" w:hAnsi="Arial" w:cs="Arial"/>
                <w:sz w:val="20"/>
                <w:szCs w:val="20"/>
              </w:rPr>
            </w:pPr>
            <w:r>
              <w:rPr>
                <w:rFonts w:ascii="Arial" w:hAnsi="Arial"/>
                <w:sz w:val="20"/>
              </w:rPr>
              <w:t>Exploitation output of stone in mines</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14:paraId="03F3E860" w14:textId="77777777" w:rsidR="007234A9" w:rsidRDefault="001E4911">
            <w:pPr>
              <w:spacing w:before="240" w:after="120" w:line="360" w:lineRule="auto"/>
              <w:rPr>
                <w:rFonts w:ascii="Arial" w:eastAsia="Arial" w:hAnsi="Arial" w:cs="Arial"/>
                <w:sz w:val="20"/>
                <w:szCs w:val="20"/>
              </w:rPr>
            </w:pPr>
            <w:r>
              <w:rPr>
                <w:rFonts w:ascii="Arial" w:hAnsi="Arial"/>
                <w:sz w:val="20"/>
              </w:rPr>
              <w:t>Tons</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3F265E6D" w14:textId="77777777" w:rsidR="007234A9" w:rsidRDefault="001E4911">
            <w:pPr>
              <w:spacing w:before="240" w:after="120" w:line="360" w:lineRule="auto"/>
              <w:rPr>
                <w:rFonts w:ascii="Arial" w:eastAsia="Arial" w:hAnsi="Arial" w:cs="Arial"/>
                <w:sz w:val="20"/>
                <w:szCs w:val="20"/>
              </w:rPr>
            </w:pPr>
            <w:r>
              <w:rPr>
                <w:rFonts w:ascii="Arial" w:hAnsi="Arial"/>
                <w:sz w:val="20"/>
              </w:rPr>
              <w:t>113,475</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3E01543D" w14:textId="77777777" w:rsidR="007234A9" w:rsidRDefault="001E4911">
            <w:pPr>
              <w:spacing w:before="240" w:after="120" w:line="360" w:lineRule="auto"/>
              <w:rPr>
                <w:rFonts w:ascii="Arial" w:eastAsia="Arial" w:hAnsi="Arial" w:cs="Arial"/>
                <w:sz w:val="20"/>
                <w:szCs w:val="20"/>
              </w:rPr>
            </w:pPr>
            <w:r>
              <w:rPr>
                <w:rFonts w:ascii="Arial" w:hAnsi="Arial"/>
                <w:sz w:val="20"/>
              </w:rPr>
              <w:t>108,769</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54097D6D" w14:textId="77777777" w:rsidR="007234A9" w:rsidRDefault="001E4911">
            <w:pPr>
              <w:spacing w:before="240" w:after="120" w:line="360" w:lineRule="auto"/>
              <w:rPr>
                <w:rFonts w:ascii="Arial" w:eastAsia="Arial" w:hAnsi="Arial" w:cs="Arial"/>
                <w:sz w:val="20"/>
                <w:szCs w:val="20"/>
              </w:rPr>
            </w:pPr>
            <w:r>
              <w:rPr>
                <w:rFonts w:ascii="Arial" w:hAnsi="Arial"/>
                <w:sz w:val="20"/>
              </w:rPr>
              <w:t>95.8%</w:t>
            </w:r>
          </w:p>
        </w:tc>
        <w:tc>
          <w:tcPr>
            <w:tcW w:w="2130" w:type="dxa"/>
            <w:tcBorders>
              <w:top w:val="nil"/>
              <w:left w:val="nil"/>
              <w:bottom w:val="single" w:sz="6" w:space="0" w:color="000000"/>
              <w:right w:val="single" w:sz="6" w:space="0" w:color="000000"/>
            </w:tcBorders>
            <w:tcMar>
              <w:top w:w="0" w:type="dxa"/>
              <w:left w:w="0" w:type="dxa"/>
              <w:bottom w:w="0" w:type="dxa"/>
              <w:right w:w="0" w:type="dxa"/>
            </w:tcMar>
          </w:tcPr>
          <w:p w14:paraId="0B1DB390" w14:textId="77777777" w:rsidR="007234A9" w:rsidRDefault="001E4911">
            <w:pPr>
              <w:spacing w:before="240" w:after="120" w:line="360" w:lineRule="auto"/>
              <w:rPr>
                <w:rFonts w:ascii="Arial" w:eastAsia="Arial" w:hAnsi="Arial" w:cs="Arial"/>
                <w:sz w:val="20"/>
                <w:szCs w:val="20"/>
              </w:rPr>
            </w:pPr>
            <w:r>
              <w:rPr>
                <w:rFonts w:ascii="Arial" w:hAnsi="Arial"/>
                <w:sz w:val="20"/>
              </w:rPr>
              <w:t xml:space="preserve"> </w:t>
            </w:r>
          </w:p>
        </w:tc>
      </w:tr>
      <w:tr w:rsidR="007234A9" w14:paraId="33B36777" w14:textId="77777777">
        <w:trPr>
          <w:trHeight w:val="435"/>
        </w:trPr>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4BDA93B" w14:textId="77777777" w:rsidR="007234A9" w:rsidRDefault="001E4911">
            <w:pPr>
              <w:spacing w:before="240" w:after="120" w:line="360" w:lineRule="auto"/>
              <w:rPr>
                <w:rFonts w:ascii="Arial" w:eastAsia="Arial" w:hAnsi="Arial" w:cs="Arial"/>
                <w:sz w:val="20"/>
                <w:szCs w:val="20"/>
              </w:rPr>
            </w:pPr>
            <w:r>
              <w:rPr>
                <w:rFonts w:ascii="Arial" w:hAnsi="Arial"/>
                <w:sz w:val="20"/>
              </w:rPr>
              <w:t>2</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3B121F31" w14:textId="77777777" w:rsidR="007234A9" w:rsidRDefault="001E4911">
            <w:pPr>
              <w:spacing w:before="240" w:after="120" w:line="360" w:lineRule="auto"/>
              <w:rPr>
                <w:rFonts w:ascii="Arial" w:eastAsia="Arial" w:hAnsi="Arial" w:cs="Arial"/>
                <w:sz w:val="20"/>
                <w:szCs w:val="20"/>
              </w:rPr>
            </w:pPr>
            <w:r>
              <w:rPr>
                <w:rFonts w:ascii="Arial" w:hAnsi="Arial"/>
                <w:sz w:val="20"/>
              </w:rPr>
              <w:t>Production volume</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14:paraId="41435DB6" w14:textId="77777777" w:rsidR="007234A9" w:rsidRDefault="001E4911">
            <w:pPr>
              <w:spacing w:before="240" w:after="120" w:line="360" w:lineRule="auto"/>
              <w:rPr>
                <w:rFonts w:ascii="Arial" w:eastAsia="Arial" w:hAnsi="Arial" w:cs="Arial"/>
                <w:sz w:val="20"/>
                <w:szCs w:val="20"/>
              </w:rPr>
            </w:pPr>
            <w:r>
              <w:rPr>
                <w:rFonts w:ascii="Arial" w:hAnsi="Arial"/>
                <w:sz w:val="20"/>
              </w:rPr>
              <w:t>Tons</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506EF0D3" w14:textId="77777777" w:rsidR="007234A9" w:rsidRDefault="001E4911">
            <w:pPr>
              <w:spacing w:before="240" w:after="120" w:line="360" w:lineRule="auto"/>
              <w:rPr>
                <w:rFonts w:ascii="Arial" w:eastAsia="Arial" w:hAnsi="Arial" w:cs="Arial"/>
                <w:sz w:val="20"/>
                <w:szCs w:val="20"/>
              </w:rPr>
            </w:pPr>
            <w:r>
              <w:rPr>
                <w:rFonts w:ascii="Arial" w:hAnsi="Arial"/>
                <w:sz w:val="20"/>
              </w:rPr>
              <w:t>113,600</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4B19A319" w14:textId="77777777" w:rsidR="007234A9" w:rsidRDefault="001E4911">
            <w:pPr>
              <w:spacing w:before="240" w:after="120" w:line="360" w:lineRule="auto"/>
              <w:rPr>
                <w:rFonts w:ascii="Arial" w:eastAsia="Arial" w:hAnsi="Arial" w:cs="Arial"/>
                <w:sz w:val="20"/>
                <w:szCs w:val="20"/>
              </w:rPr>
            </w:pPr>
            <w:r>
              <w:rPr>
                <w:rFonts w:ascii="Arial" w:hAnsi="Arial"/>
                <w:sz w:val="20"/>
              </w:rPr>
              <w:t>100,804</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3192C4C2" w14:textId="77777777" w:rsidR="007234A9" w:rsidRDefault="001E4911">
            <w:pPr>
              <w:spacing w:before="240" w:after="120" w:line="360" w:lineRule="auto"/>
              <w:rPr>
                <w:rFonts w:ascii="Arial" w:eastAsia="Arial" w:hAnsi="Arial" w:cs="Arial"/>
                <w:sz w:val="20"/>
                <w:szCs w:val="20"/>
              </w:rPr>
            </w:pPr>
            <w:r>
              <w:rPr>
                <w:rFonts w:ascii="Arial" w:hAnsi="Arial"/>
                <w:sz w:val="20"/>
              </w:rPr>
              <w:t>88.7%</w:t>
            </w:r>
          </w:p>
        </w:tc>
        <w:tc>
          <w:tcPr>
            <w:tcW w:w="2130" w:type="dxa"/>
            <w:tcBorders>
              <w:top w:val="nil"/>
              <w:left w:val="nil"/>
              <w:bottom w:val="single" w:sz="6" w:space="0" w:color="000000"/>
              <w:right w:val="single" w:sz="6" w:space="0" w:color="000000"/>
            </w:tcBorders>
            <w:tcMar>
              <w:top w:w="0" w:type="dxa"/>
              <w:left w:w="0" w:type="dxa"/>
              <w:bottom w:w="0" w:type="dxa"/>
              <w:right w:w="0" w:type="dxa"/>
            </w:tcMar>
          </w:tcPr>
          <w:p w14:paraId="669315AC" w14:textId="77777777" w:rsidR="007234A9" w:rsidRDefault="001E4911">
            <w:pPr>
              <w:spacing w:before="240" w:after="120" w:line="360" w:lineRule="auto"/>
              <w:rPr>
                <w:rFonts w:ascii="Arial" w:eastAsia="Arial" w:hAnsi="Arial" w:cs="Arial"/>
                <w:sz w:val="20"/>
                <w:szCs w:val="20"/>
              </w:rPr>
            </w:pPr>
            <w:r>
              <w:rPr>
                <w:rFonts w:ascii="Arial" w:hAnsi="Arial"/>
                <w:sz w:val="20"/>
              </w:rPr>
              <w:t xml:space="preserve"> </w:t>
            </w:r>
          </w:p>
        </w:tc>
      </w:tr>
      <w:tr w:rsidR="007234A9" w14:paraId="6474C8B7" w14:textId="77777777">
        <w:trPr>
          <w:trHeight w:val="435"/>
        </w:trPr>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494FD00" w14:textId="77777777" w:rsidR="007234A9" w:rsidRDefault="001E4911">
            <w:pPr>
              <w:spacing w:before="240" w:after="120" w:line="360" w:lineRule="auto"/>
              <w:rPr>
                <w:rFonts w:ascii="Arial" w:eastAsia="Arial" w:hAnsi="Arial" w:cs="Arial"/>
                <w:sz w:val="20"/>
                <w:szCs w:val="20"/>
              </w:rPr>
            </w:pPr>
            <w:r>
              <w:rPr>
                <w:rFonts w:ascii="Arial" w:hAnsi="Arial"/>
                <w:sz w:val="20"/>
              </w:rPr>
              <w:t>3</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62BAA863" w14:textId="77777777" w:rsidR="007234A9" w:rsidRDefault="001E4911">
            <w:pPr>
              <w:spacing w:before="240" w:after="120" w:line="360" w:lineRule="auto"/>
              <w:rPr>
                <w:rFonts w:ascii="Arial" w:eastAsia="Arial" w:hAnsi="Arial" w:cs="Arial"/>
                <w:sz w:val="20"/>
                <w:szCs w:val="20"/>
              </w:rPr>
            </w:pPr>
            <w:r>
              <w:rPr>
                <w:rFonts w:ascii="Arial" w:hAnsi="Arial"/>
                <w:sz w:val="20"/>
              </w:rPr>
              <w:t>Sale volume</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14:paraId="2DDAD16E" w14:textId="77777777" w:rsidR="007234A9" w:rsidRDefault="001E4911">
            <w:pPr>
              <w:spacing w:before="240" w:after="120" w:line="360" w:lineRule="auto"/>
              <w:rPr>
                <w:rFonts w:ascii="Arial" w:eastAsia="Arial" w:hAnsi="Arial" w:cs="Arial"/>
                <w:sz w:val="20"/>
                <w:szCs w:val="20"/>
              </w:rPr>
            </w:pPr>
            <w:r>
              <w:rPr>
                <w:rFonts w:ascii="Arial" w:hAnsi="Arial"/>
                <w:sz w:val="20"/>
              </w:rPr>
              <w:t>Tons</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3EA13F47" w14:textId="77777777" w:rsidR="007234A9" w:rsidRDefault="001E4911">
            <w:pPr>
              <w:spacing w:before="240" w:after="120" w:line="360" w:lineRule="auto"/>
              <w:rPr>
                <w:rFonts w:ascii="Arial" w:eastAsia="Arial" w:hAnsi="Arial" w:cs="Arial"/>
                <w:sz w:val="20"/>
                <w:szCs w:val="20"/>
              </w:rPr>
            </w:pPr>
            <w:r>
              <w:rPr>
                <w:rFonts w:ascii="Arial" w:hAnsi="Arial"/>
                <w:sz w:val="20"/>
              </w:rPr>
              <w:t>113,600</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4B056A39" w14:textId="77777777" w:rsidR="007234A9" w:rsidRDefault="001E4911">
            <w:pPr>
              <w:spacing w:before="240" w:after="120" w:line="360" w:lineRule="auto"/>
              <w:rPr>
                <w:rFonts w:ascii="Arial" w:eastAsia="Arial" w:hAnsi="Arial" w:cs="Arial"/>
                <w:sz w:val="20"/>
                <w:szCs w:val="20"/>
              </w:rPr>
            </w:pPr>
            <w:r>
              <w:rPr>
                <w:rFonts w:ascii="Arial" w:hAnsi="Arial"/>
                <w:sz w:val="20"/>
              </w:rPr>
              <w:t>102,172</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29C8E7F9" w14:textId="77777777" w:rsidR="007234A9" w:rsidRDefault="001E4911">
            <w:pPr>
              <w:spacing w:before="240" w:after="120" w:line="360" w:lineRule="auto"/>
              <w:rPr>
                <w:rFonts w:ascii="Arial" w:eastAsia="Arial" w:hAnsi="Arial" w:cs="Arial"/>
                <w:sz w:val="20"/>
                <w:szCs w:val="20"/>
              </w:rPr>
            </w:pPr>
            <w:r>
              <w:rPr>
                <w:rFonts w:ascii="Arial" w:hAnsi="Arial"/>
                <w:sz w:val="20"/>
              </w:rPr>
              <w:t>89.9%</w:t>
            </w:r>
          </w:p>
        </w:tc>
        <w:tc>
          <w:tcPr>
            <w:tcW w:w="2130" w:type="dxa"/>
            <w:tcBorders>
              <w:top w:val="nil"/>
              <w:left w:val="nil"/>
              <w:bottom w:val="single" w:sz="6" w:space="0" w:color="000000"/>
              <w:right w:val="single" w:sz="6" w:space="0" w:color="000000"/>
            </w:tcBorders>
            <w:tcMar>
              <w:top w:w="0" w:type="dxa"/>
              <w:left w:w="0" w:type="dxa"/>
              <w:bottom w:w="0" w:type="dxa"/>
              <w:right w:w="0" w:type="dxa"/>
            </w:tcMar>
          </w:tcPr>
          <w:p w14:paraId="1B77F814" w14:textId="77777777" w:rsidR="007234A9" w:rsidRDefault="001E4911">
            <w:pPr>
              <w:spacing w:before="240" w:after="120" w:line="360" w:lineRule="auto"/>
              <w:rPr>
                <w:rFonts w:ascii="Arial" w:eastAsia="Arial" w:hAnsi="Arial" w:cs="Arial"/>
                <w:sz w:val="20"/>
                <w:szCs w:val="20"/>
              </w:rPr>
            </w:pPr>
            <w:r>
              <w:rPr>
                <w:rFonts w:ascii="Arial" w:hAnsi="Arial"/>
                <w:sz w:val="20"/>
              </w:rPr>
              <w:t xml:space="preserve"> </w:t>
            </w:r>
          </w:p>
        </w:tc>
      </w:tr>
      <w:tr w:rsidR="007234A9" w14:paraId="11E34915" w14:textId="77777777">
        <w:trPr>
          <w:trHeight w:val="435"/>
        </w:trPr>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F45102F" w14:textId="77777777" w:rsidR="007234A9" w:rsidRDefault="001E4911">
            <w:pPr>
              <w:spacing w:before="240" w:after="120" w:line="360" w:lineRule="auto"/>
              <w:rPr>
                <w:rFonts w:ascii="Arial" w:eastAsia="Arial" w:hAnsi="Arial" w:cs="Arial"/>
                <w:sz w:val="20"/>
                <w:szCs w:val="20"/>
              </w:rPr>
            </w:pPr>
            <w:r>
              <w:rPr>
                <w:rFonts w:ascii="Arial" w:hAnsi="Arial"/>
                <w:sz w:val="20"/>
              </w:rPr>
              <w:t>4</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478AD701" w14:textId="77777777" w:rsidR="007234A9" w:rsidRDefault="001E4911">
            <w:pPr>
              <w:spacing w:before="240" w:after="120" w:line="360" w:lineRule="auto"/>
              <w:rPr>
                <w:rFonts w:ascii="Arial" w:eastAsia="Arial" w:hAnsi="Arial" w:cs="Arial"/>
                <w:sz w:val="20"/>
                <w:szCs w:val="20"/>
              </w:rPr>
            </w:pPr>
            <w:r>
              <w:rPr>
                <w:rFonts w:ascii="Arial" w:hAnsi="Arial"/>
                <w:sz w:val="20"/>
              </w:rPr>
              <w:t>Revenue</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14:paraId="34672BFD" w14:textId="77777777" w:rsidR="007234A9" w:rsidRDefault="001E4911">
            <w:pPr>
              <w:spacing w:before="240" w:after="120" w:line="360" w:lineRule="auto"/>
              <w:rPr>
                <w:rFonts w:ascii="Arial" w:eastAsia="Arial" w:hAnsi="Arial" w:cs="Arial"/>
                <w:sz w:val="20"/>
                <w:szCs w:val="20"/>
              </w:rPr>
            </w:pPr>
            <w:r>
              <w:rPr>
                <w:rFonts w:ascii="Arial" w:hAnsi="Arial"/>
                <w:sz w:val="20"/>
              </w:rPr>
              <w:t>Million VND</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750F4E97" w14:textId="77777777" w:rsidR="007234A9" w:rsidRDefault="001E4911">
            <w:pPr>
              <w:spacing w:before="240" w:after="120" w:line="360" w:lineRule="auto"/>
              <w:rPr>
                <w:rFonts w:ascii="Arial" w:eastAsia="Arial" w:hAnsi="Arial" w:cs="Arial"/>
                <w:sz w:val="20"/>
                <w:szCs w:val="20"/>
              </w:rPr>
            </w:pPr>
            <w:r>
              <w:rPr>
                <w:rFonts w:ascii="Arial" w:hAnsi="Arial"/>
                <w:sz w:val="20"/>
              </w:rPr>
              <w:t>162,878</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6746F435" w14:textId="77777777" w:rsidR="007234A9" w:rsidRDefault="001E4911">
            <w:pPr>
              <w:spacing w:before="240" w:after="120" w:line="360" w:lineRule="auto"/>
              <w:rPr>
                <w:rFonts w:ascii="Arial" w:eastAsia="Arial" w:hAnsi="Arial" w:cs="Arial"/>
                <w:sz w:val="20"/>
                <w:szCs w:val="20"/>
              </w:rPr>
            </w:pPr>
            <w:r>
              <w:rPr>
                <w:rFonts w:ascii="Arial" w:hAnsi="Arial"/>
                <w:sz w:val="20"/>
              </w:rPr>
              <w:t>147,481</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2813911D" w14:textId="77777777" w:rsidR="007234A9" w:rsidRDefault="001E4911">
            <w:pPr>
              <w:spacing w:before="240" w:after="120" w:line="360" w:lineRule="auto"/>
              <w:rPr>
                <w:rFonts w:ascii="Arial" w:eastAsia="Arial" w:hAnsi="Arial" w:cs="Arial"/>
                <w:sz w:val="20"/>
                <w:szCs w:val="20"/>
              </w:rPr>
            </w:pPr>
            <w:r>
              <w:rPr>
                <w:rFonts w:ascii="Arial" w:hAnsi="Arial"/>
                <w:sz w:val="20"/>
              </w:rPr>
              <w:t>90.5%</w:t>
            </w:r>
          </w:p>
        </w:tc>
        <w:tc>
          <w:tcPr>
            <w:tcW w:w="2130" w:type="dxa"/>
            <w:tcBorders>
              <w:top w:val="nil"/>
              <w:left w:val="nil"/>
              <w:bottom w:val="single" w:sz="6" w:space="0" w:color="000000"/>
              <w:right w:val="single" w:sz="6" w:space="0" w:color="000000"/>
            </w:tcBorders>
            <w:tcMar>
              <w:top w:w="0" w:type="dxa"/>
              <w:left w:w="0" w:type="dxa"/>
              <w:bottom w:w="0" w:type="dxa"/>
              <w:right w:w="0" w:type="dxa"/>
            </w:tcMar>
          </w:tcPr>
          <w:p w14:paraId="11B2C2AE" w14:textId="77777777" w:rsidR="007234A9" w:rsidRDefault="001E4911">
            <w:pPr>
              <w:spacing w:before="240" w:after="120" w:line="360" w:lineRule="auto"/>
              <w:rPr>
                <w:rFonts w:ascii="Arial" w:eastAsia="Arial" w:hAnsi="Arial" w:cs="Arial"/>
                <w:sz w:val="20"/>
                <w:szCs w:val="20"/>
              </w:rPr>
            </w:pPr>
            <w:r>
              <w:rPr>
                <w:rFonts w:ascii="Arial" w:hAnsi="Arial"/>
                <w:sz w:val="20"/>
              </w:rPr>
              <w:t xml:space="preserve"> </w:t>
            </w:r>
          </w:p>
        </w:tc>
      </w:tr>
      <w:tr w:rsidR="007234A9" w14:paraId="3EEC5040" w14:textId="77777777">
        <w:trPr>
          <w:trHeight w:val="435"/>
        </w:trPr>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7776320" w14:textId="77777777" w:rsidR="007234A9" w:rsidRDefault="001E4911">
            <w:pPr>
              <w:spacing w:before="240" w:after="120" w:line="360" w:lineRule="auto"/>
              <w:rPr>
                <w:rFonts w:ascii="Arial" w:eastAsia="Arial" w:hAnsi="Arial" w:cs="Arial"/>
                <w:sz w:val="20"/>
                <w:szCs w:val="20"/>
              </w:rPr>
            </w:pPr>
            <w:r>
              <w:rPr>
                <w:rFonts w:ascii="Arial" w:hAnsi="Arial"/>
                <w:sz w:val="20"/>
              </w:rPr>
              <w:lastRenderedPageBreak/>
              <w:t>5</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1A229AD1" w14:textId="77777777" w:rsidR="007234A9" w:rsidRDefault="001E4911">
            <w:pPr>
              <w:spacing w:before="240" w:after="120" w:line="360" w:lineRule="auto"/>
              <w:rPr>
                <w:rFonts w:ascii="Arial" w:eastAsia="Arial" w:hAnsi="Arial" w:cs="Arial"/>
                <w:sz w:val="20"/>
                <w:szCs w:val="20"/>
              </w:rPr>
            </w:pPr>
            <w:r>
              <w:rPr>
                <w:rFonts w:ascii="Arial" w:hAnsi="Arial"/>
                <w:sz w:val="20"/>
              </w:rPr>
              <w:t>Profit before tax</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14:paraId="3C9A15BF" w14:textId="77777777" w:rsidR="007234A9" w:rsidRDefault="001E4911">
            <w:pPr>
              <w:spacing w:before="240" w:after="120" w:line="360" w:lineRule="auto"/>
              <w:rPr>
                <w:rFonts w:ascii="Arial" w:eastAsia="Arial" w:hAnsi="Arial" w:cs="Arial"/>
                <w:sz w:val="20"/>
                <w:szCs w:val="20"/>
              </w:rPr>
            </w:pPr>
            <w:r>
              <w:rPr>
                <w:rFonts w:ascii="Arial" w:hAnsi="Arial"/>
                <w:sz w:val="20"/>
              </w:rPr>
              <w:t>Million VND</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7E4127B6" w14:textId="77777777" w:rsidR="007234A9" w:rsidRDefault="001E4911">
            <w:pPr>
              <w:spacing w:before="240" w:after="120" w:line="360" w:lineRule="auto"/>
              <w:rPr>
                <w:rFonts w:ascii="Arial" w:eastAsia="Arial" w:hAnsi="Arial" w:cs="Arial"/>
                <w:sz w:val="20"/>
                <w:szCs w:val="20"/>
              </w:rPr>
            </w:pPr>
            <w:r>
              <w:rPr>
                <w:rFonts w:ascii="Arial" w:hAnsi="Arial"/>
                <w:sz w:val="20"/>
              </w:rPr>
              <w:t>7,786</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249D5D77" w14:textId="77777777" w:rsidR="007234A9" w:rsidRDefault="001E4911">
            <w:pPr>
              <w:spacing w:before="240" w:after="120" w:line="360" w:lineRule="auto"/>
              <w:rPr>
                <w:rFonts w:ascii="Arial" w:eastAsia="Arial" w:hAnsi="Arial" w:cs="Arial"/>
                <w:sz w:val="20"/>
                <w:szCs w:val="20"/>
              </w:rPr>
            </w:pPr>
            <w:r>
              <w:rPr>
                <w:rFonts w:ascii="Arial" w:hAnsi="Arial"/>
                <w:sz w:val="20"/>
              </w:rPr>
              <w:t>8,204</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44176AE2" w14:textId="77777777" w:rsidR="007234A9" w:rsidRDefault="001E4911">
            <w:pPr>
              <w:spacing w:before="240" w:after="120" w:line="360" w:lineRule="auto"/>
              <w:rPr>
                <w:rFonts w:ascii="Arial" w:eastAsia="Arial" w:hAnsi="Arial" w:cs="Arial"/>
                <w:sz w:val="20"/>
                <w:szCs w:val="20"/>
              </w:rPr>
            </w:pPr>
            <w:r>
              <w:rPr>
                <w:rFonts w:ascii="Arial" w:hAnsi="Arial"/>
                <w:sz w:val="20"/>
              </w:rPr>
              <w:t>105.4%</w:t>
            </w:r>
          </w:p>
        </w:tc>
        <w:tc>
          <w:tcPr>
            <w:tcW w:w="2130" w:type="dxa"/>
            <w:tcBorders>
              <w:top w:val="nil"/>
              <w:left w:val="nil"/>
              <w:bottom w:val="single" w:sz="6" w:space="0" w:color="000000"/>
              <w:right w:val="single" w:sz="6" w:space="0" w:color="000000"/>
            </w:tcBorders>
            <w:tcMar>
              <w:top w:w="0" w:type="dxa"/>
              <w:left w:w="0" w:type="dxa"/>
              <w:bottom w:w="0" w:type="dxa"/>
              <w:right w:w="0" w:type="dxa"/>
            </w:tcMar>
          </w:tcPr>
          <w:p w14:paraId="516C32F9" w14:textId="77777777" w:rsidR="007234A9" w:rsidRDefault="001E4911">
            <w:pPr>
              <w:spacing w:before="240" w:after="120" w:line="360" w:lineRule="auto"/>
              <w:rPr>
                <w:rFonts w:ascii="Arial" w:eastAsia="Arial" w:hAnsi="Arial" w:cs="Arial"/>
                <w:sz w:val="20"/>
                <w:szCs w:val="20"/>
              </w:rPr>
            </w:pPr>
            <w:r>
              <w:rPr>
                <w:rFonts w:ascii="Arial" w:hAnsi="Arial"/>
                <w:sz w:val="20"/>
              </w:rPr>
              <w:t xml:space="preserve"> </w:t>
            </w:r>
          </w:p>
        </w:tc>
      </w:tr>
      <w:tr w:rsidR="007234A9" w14:paraId="46A24F02" w14:textId="77777777">
        <w:trPr>
          <w:trHeight w:val="435"/>
        </w:trPr>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ACF8045" w14:textId="77777777" w:rsidR="007234A9" w:rsidRDefault="001E4911">
            <w:pPr>
              <w:spacing w:before="240" w:after="120" w:line="360" w:lineRule="auto"/>
              <w:rPr>
                <w:rFonts w:ascii="Arial" w:eastAsia="Arial" w:hAnsi="Arial" w:cs="Arial"/>
                <w:sz w:val="20"/>
                <w:szCs w:val="20"/>
              </w:rPr>
            </w:pPr>
            <w:r>
              <w:rPr>
                <w:rFonts w:ascii="Arial" w:hAnsi="Arial"/>
                <w:sz w:val="20"/>
              </w:rPr>
              <w:t>6</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55788273" w14:textId="77777777" w:rsidR="007234A9" w:rsidRDefault="001E4911">
            <w:pPr>
              <w:spacing w:before="240" w:after="120" w:line="360" w:lineRule="auto"/>
              <w:rPr>
                <w:rFonts w:ascii="Arial" w:eastAsia="Arial" w:hAnsi="Arial" w:cs="Arial"/>
                <w:sz w:val="20"/>
                <w:szCs w:val="20"/>
              </w:rPr>
            </w:pPr>
            <w:r>
              <w:rPr>
                <w:rFonts w:ascii="Arial" w:hAnsi="Arial"/>
                <w:sz w:val="20"/>
              </w:rPr>
              <w:t>Profit after tax</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14:paraId="0B315624" w14:textId="77777777" w:rsidR="007234A9" w:rsidRDefault="001E4911">
            <w:pPr>
              <w:spacing w:before="240" w:after="120" w:line="360" w:lineRule="auto"/>
              <w:rPr>
                <w:rFonts w:ascii="Arial" w:eastAsia="Arial" w:hAnsi="Arial" w:cs="Arial"/>
                <w:sz w:val="20"/>
                <w:szCs w:val="20"/>
              </w:rPr>
            </w:pPr>
            <w:r>
              <w:rPr>
                <w:rFonts w:ascii="Arial" w:hAnsi="Arial"/>
                <w:sz w:val="20"/>
              </w:rPr>
              <w:t>Million VND</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7EC246D1" w14:textId="77777777" w:rsidR="007234A9" w:rsidRDefault="001E4911">
            <w:pPr>
              <w:spacing w:before="240" w:after="120" w:line="360" w:lineRule="auto"/>
              <w:rPr>
                <w:rFonts w:ascii="Arial" w:eastAsia="Arial" w:hAnsi="Arial" w:cs="Arial"/>
                <w:sz w:val="20"/>
                <w:szCs w:val="20"/>
              </w:rPr>
            </w:pPr>
            <w:r>
              <w:rPr>
                <w:rFonts w:ascii="Arial" w:hAnsi="Arial"/>
                <w:sz w:val="20"/>
              </w:rPr>
              <w:t>6,080</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7E23B26A" w14:textId="77777777" w:rsidR="007234A9" w:rsidRDefault="001E4911">
            <w:pPr>
              <w:spacing w:before="240" w:after="120" w:line="360" w:lineRule="auto"/>
              <w:rPr>
                <w:rFonts w:ascii="Arial" w:eastAsia="Arial" w:hAnsi="Arial" w:cs="Arial"/>
                <w:sz w:val="20"/>
                <w:szCs w:val="20"/>
              </w:rPr>
            </w:pPr>
            <w:r>
              <w:rPr>
                <w:rFonts w:ascii="Arial" w:hAnsi="Arial"/>
                <w:sz w:val="20"/>
              </w:rPr>
              <w:t>6,437</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3A807B54" w14:textId="77777777" w:rsidR="007234A9" w:rsidRDefault="001E4911">
            <w:pPr>
              <w:spacing w:before="240" w:after="120" w:line="360" w:lineRule="auto"/>
              <w:rPr>
                <w:rFonts w:ascii="Arial" w:eastAsia="Arial" w:hAnsi="Arial" w:cs="Arial"/>
                <w:sz w:val="20"/>
                <w:szCs w:val="20"/>
              </w:rPr>
            </w:pPr>
            <w:r>
              <w:rPr>
                <w:rFonts w:ascii="Arial" w:hAnsi="Arial"/>
                <w:sz w:val="20"/>
              </w:rPr>
              <w:t>105.9%</w:t>
            </w:r>
          </w:p>
        </w:tc>
        <w:tc>
          <w:tcPr>
            <w:tcW w:w="2130" w:type="dxa"/>
            <w:tcBorders>
              <w:top w:val="nil"/>
              <w:left w:val="nil"/>
              <w:bottom w:val="single" w:sz="6" w:space="0" w:color="000000"/>
              <w:right w:val="single" w:sz="6" w:space="0" w:color="000000"/>
            </w:tcBorders>
            <w:tcMar>
              <w:top w:w="0" w:type="dxa"/>
              <w:left w:w="0" w:type="dxa"/>
              <w:bottom w:w="0" w:type="dxa"/>
              <w:right w:w="0" w:type="dxa"/>
            </w:tcMar>
          </w:tcPr>
          <w:p w14:paraId="6E0811DD" w14:textId="77777777" w:rsidR="007234A9" w:rsidRDefault="001E4911">
            <w:pPr>
              <w:spacing w:before="240" w:after="120" w:line="360" w:lineRule="auto"/>
              <w:rPr>
                <w:rFonts w:ascii="Arial" w:eastAsia="Arial" w:hAnsi="Arial" w:cs="Arial"/>
                <w:sz w:val="20"/>
                <w:szCs w:val="20"/>
              </w:rPr>
            </w:pPr>
            <w:r>
              <w:rPr>
                <w:rFonts w:ascii="Arial" w:hAnsi="Arial"/>
                <w:sz w:val="20"/>
              </w:rPr>
              <w:t xml:space="preserve"> </w:t>
            </w:r>
          </w:p>
        </w:tc>
      </w:tr>
      <w:tr w:rsidR="007234A9" w14:paraId="3A704075" w14:textId="77777777">
        <w:trPr>
          <w:trHeight w:val="435"/>
        </w:trPr>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DE627" w14:textId="77777777" w:rsidR="007234A9" w:rsidRDefault="001E4911">
            <w:pPr>
              <w:spacing w:before="240" w:after="120" w:line="360" w:lineRule="auto"/>
              <w:rPr>
                <w:rFonts w:ascii="Arial" w:eastAsia="Arial" w:hAnsi="Arial" w:cs="Arial"/>
                <w:sz w:val="20"/>
                <w:szCs w:val="20"/>
              </w:rPr>
            </w:pPr>
            <w:r>
              <w:rPr>
                <w:rFonts w:ascii="Arial" w:hAnsi="Arial"/>
                <w:sz w:val="20"/>
              </w:rPr>
              <w:t>7</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1F334BA0" w14:textId="77777777" w:rsidR="007234A9" w:rsidRDefault="001E4911">
            <w:pPr>
              <w:spacing w:before="240" w:after="120" w:line="360" w:lineRule="auto"/>
              <w:rPr>
                <w:rFonts w:ascii="Arial" w:eastAsia="Arial" w:hAnsi="Arial" w:cs="Arial"/>
                <w:sz w:val="20"/>
                <w:szCs w:val="20"/>
              </w:rPr>
            </w:pPr>
            <w:r>
              <w:rPr>
                <w:rFonts w:ascii="Arial" w:hAnsi="Arial"/>
                <w:sz w:val="20"/>
              </w:rPr>
              <w:t>Payable to state budget</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14:paraId="0DE8EA5B" w14:textId="77777777" w:rsidR="007234A9" w:rsidRDefault="001E4911">
            <w:pPr>
              <w:spacing w:before="240" w:after="120" w:line="360" w:lineRule="auto"/>
              <w:rPr>
                <w:rFonts w:ascii="Arial" w:eastAsia="Arial" w:hAnsi="Arial" w:cs="Arial"/>
                <w:sz w:val="20"/>
                <w:szCs w:val="20"/>
              </w:rPr>
            </w:pPr>
            <w:r>
              <w:rPr>
                <w:rFonts w:ascii="Arial" w:hAnsi="Arial"/>
                <w:sz w:val="20"/>
              </w:rPr>
              <w:t>Million VND</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3B73657F" w14:textId="77777777" w:rsidR="007234A9" w:rsidRDefault="001E4911">
            <w:pPr>
              <w:spacing w:before="240" w:after="120" w:line="360" w:lineRule="auto"/>
              <w:rPr>
                <w:rFonts w:ascii="Arial" w:eastAsia="Arial" w:hAnsi="Arial" w:cs="Arial"/>
                <w:sz w:val="20"/>
                <w:szCs w:val="20"/>
              </w:rPr>
            </w:pPr>
            <w:r>
              <w:rPr>
                <w:rFonts w:ascii="Arial" w:hAnsi="Arial"/>
                <w:sz w:val="20"/>
              </w:rPr>
              <w:t>5,232</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55099B11" w14:textId="77777777" w:rsidR="007234A9" w:rsidRDefault="001E4911">
            <w:pPr>
              <w:spacing w:before="240" w:after="120" w:line="360" w:lineRule="auto"/>
              <w:rPr>
                <w:rFonts w:ascii="Arial" w:eastAsia="Arial" w:hAnsi="Arial" w:cs="Arial"/>
                <w:sz w:val="20"/>
                <w:szCs w:val="20"/>
              </w:rPr>
            </w:pPr>
            <w:r>
              <w:rPr>
                <w:rFonts w:ascii="Arial" w:hAnsi="Arial"/>
                <w:sz w:val="20"/>
              </w:rPr>
              <w:t>8,756</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6C8EC486" w14:textId="77777777" w:rsidR="007234A9" w:rsidRDefault="001E4911">
            <w:pPr>
              <w:spacing w:before="240" w:after="120" w:line="360" w:lineRule="auto"/>
              <w:rPr>
                <w:rFonts w:ascii="Arial" w:eastAsia="Arial" w:hAnsi="Arial" w:cs="Arial"/>
                <w:sz w:val="20"/>
                <w:szCs w:val="20"/>
              </w:rPr>
            </w:pPr>
            <w:r>
              <w:rPr>
                <w:rFonts w:ascii="Arial" w:hAnsi="Arial"/>
                <w:sz w:val="20"/>
              </w:rPr>
              <w:t>167.3%</w:t>
            </w:r>
          </w:p>
        </w:tc>
        <w:tc>
          <w:tcPr>
            <w:tcW w:w="2130" w:type="dxa"/>
            <w:tcBorders>
              <w:top w:val="nil"/>
              <w:left w:val="nil"/>
              <w:bottom w:val="single" w:sz="6" w:space="0" w:color="000000"/>
              <w:right w:val="single" w:sz="6" w:space="0" w:color="000000"/>
            </w:tcBorders>
            <w:tcMar>
              <w:top w:w="0" w:type="dxa"/>
              <w:left w:w="0" w:type="dxa"/>
              <w:bottom w:w="0" w:type="dxa"/>
              <w:right w:w="0" w:type="dxa"/>
            </w:tcMar>
          </w:tcPr>
          <w:p w14:paraId="3C16315B" w14:textId="77777777" w:rsidR="007234A9" w:rsidRDefault="001E4911">
            <w:pPr>
              <w:spacing w:before="240" w:after="120" w:line="360" w:lineRule="auto"/>
              <w:rPr>
                <w:rFonts w:ascii="Arial" w:eastAsia="Arial" w:hAnsi="Arial" w:cs="Arial"/>
                <w:sz w:val="20"/>
                <w:szCs w:val="20"/>
              </w:rPr>
            </w:pPr>
            <w:r>
              <w:rPr>
                <w:rFonts w:ascii="Arial" w:hAnsi="Arial"/>
                <w:sz w:val="20"/>
              </w:rPr>
              <w:t xml:space="preserve"> </w:t>
            </w:r>
          </w:p>
        </w:tc>
      </w:tr>
      <w:tr w:rsidR="007234A9" w14:paraId="4B6F34FE" w14:textId="77777777">
        <w:trPr>
          <w:trHeight w:val="435"/>
        </w:trPr>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F659E85" w14:textId="77777777" w:rsidR="007234A9" w:rsidRDefault="001E4911">
            <w:pPr>
              <w:spacing w:before="240" w:after="120" w:line="360" w:lineRule="auto"/>
              <w:rPr>
                <w:rFonts w:ascii="Arial" w:eastAsia="Arial" w:hAnsi="Arial" w:cs="Arial"/>
                <w:sz w:val="20"/>
                <w:szCs w:val="20"/>
              </w:rPr>
            </w:pPr>
            <w:r>
              <w:rPr>
                <w:rFonts w:ascii="Arial" w:hAnsi="Arial"/>
                <w:sz w:val="20"/>
              </w:rPr>
              <w:t>8</w:t>
            </w:r>
          </w:p>
        </w:tc>
        <w:tc>
          <w:tcPr>
            <w:tcW w:w="2040" w:type="dxa"/>
            <w:tcBorders>
              <w:top w:val="nil"/>
              <w:left w:val="nil"/>
              <w:bottom w:val="single" w:sz="6" w:space="0" w:color="000000"/>
              <w:right w:val="single" w:sz="6" w:space="0" w:color="000000"/>
            </w:tcBorders>
            <w:tcMar>
              <w:top w:w="0" w:type="dxa"/>
              <w:left w:w="0" w:type="dxa"/>
              <w:bottom w:w="0" w:type="dxa"/>
              <w:right w:w="0" w:type="dxa"/>
            </w:tcMar>
          </w:tcPr>
          <w:p w14:paraId="787F423C" w14:textId="77777777" w:rsidR="007234A9" w:rsidRDefault="001E4911">
            <w:pPr>
              <w:spacing w:before="240" w:after="120" w:line="360" w:lineRule="auto"/>
              <w:rPr>
                <w:rFonts w:ascii="Arial" w:eastAsia="Arial" w:hAnsi="Arial" w:cs="Arial"/>
                <w:sz w:val="20"/>
                <w:szCs w:val="20"/>
              </w:rPr>
            </w:pPr>
            <w:r>
              <w:rPr>
                <w:rFonts w:ascii="Arial" w:hAnsi="Arial"/>
                <w:sz w:val="20"/>
              </w:rPr>
              <w:t>Average income of employees</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14:paraId="451CE39E" w14:textId="77777777" w:rsidR="007234A9" w:rsidRDefault="001E4911">
            <w:pPr>
              <w:spacing w:before="240" w:after="120" w:line="360" w:lineRule="auto"/>
              <w:rPr>
                <w:rFonts w:ascii="Arial" w:eastAsia="Arial" w:hAnsi="Arial" w:cs="Arial"/>
                <w:sz w:val="20"/>
                <w:szCs w:val="20"/>
              </w:rPr>
            </w:pPr>
            <w:r>
              <w:rPr>
                <w:rFonts w:ascii="Arial" w:hAnsi="Arial"/>
                <w:sz w:val="20"/>
              </w:rPr>
              <w:t>Million VND/person/month</w:t>
            </w:r>
          </w:p>
        </w:tc>
        <w:tc>
          <w:tcPr>
            <w:tcW w:w="1110" w:type="dxa"/>
            <w:tcBorders>
              <w:top w:val="nil"/>
              <w:left w:val="nil"/>
              <w:bottom w:val="single" w:sz="6" w:space="0" w:color="000000"/>
              <w:right w:val="single" w:sz="6" w:space="0" w:color="000000"/>
            </w:tcBorders>
            <w:tcMar>
              <w:top w:w="0" w:type="dxa"/>
              <w:left w:w="0" w:type="dxa"/>
              <w:bottom w:w="0" w:type="dxa"/>
              <w:right w:w="0" w:type="dxa"/>
            </w:tcMar>
          </w:tcPr>
          <w:p w14:paraId="00550CED" w14:textId="77777777" w:rsidR="007234A9" w:rsidRDefault="001E4911">
            <w:pPr>
              <w:spacing w:before="240" w:after="120" w:line="360" w:lineRule="auto"/>
              <w:rPr>
                <w:rFonts w:ascii="Arial" w:eastAsia="Arial" w:hAnsi="Arial" w:cs="Arial"/>
                <w:sz w:val="20"/>
                <w:szCs w:val="20"/>
              </w:rPr>
            </w:pPr>
            <w:r>
              <w:rPr>
                <w:rFonts w:ascii="Arial" w:hAnsi="Arial"/>
                <w:sz w:val="20"/>
              </w:rPr>
              <w:t>10.87</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59DDA27C" w14:textId="77777777" w:rsidR="007234A9" w:rsidRDefault="001E4911">
            <w:pPr>
              <w:spacing w:before="240" w:after="120" w:line="360" w:lineRule="auto"/>
              <w:rPr>
                <w:rFonts w:ascii="Arial" w:eastAsia="Arial" w:hAnsi="Arial" w:cs="Arial"/>
                <w:sz w:val="20"/>
                <w:szCs w:val="20"/>
              </w:rPr>
            </w:pPr>
            <w:r>
              <w:rPr>
                <w:rFonts w:ascii="Arial" w:hAnsi="Arial"/>
                <w:sz w:val="20"/>
              </w:rPr>
              <w:t>11.5</w:t>
            </w:r>
          </w:p>
        </w:tc>
        <w:tc>
          <w:tcPr>
            <w:tcW w:w="990" w:type="dxa"/>
            <w:tcBorders>
              <w:top w:val="nil"/>
              <w:left w:val="nil"/>
              <w:bottom w:val="single" w:sz="6" w:space="0" w:color="000000"/>
              <w:right w:val="single" w:sz="6" w:space="0" w:color="000000"/>
            </w:tcBorders>
            <w:tcMar>
              <w:top w:w="0" w:type="dxa"/>
              <w:left w:w="0" w:type="dxa"/>
              <w:bottom w:w="0" w:type="dxa"/>
              <w:right w:w="0" w:type="dxa"/>
            </w:tcMar>
          </w:tcPr>
          <w:p w14:paraId="26AF4657" w14:textId="77777777" w:rsidR="007234A9" w:rsidRDefault="001E4911">
            <w:pPr>
              <w:spacing w:before="240" w:after="120" w:line="360" w:lineRule="auto"/>
              <w:rPr>
                <w:rFonts w:ascii="Arial" w:eastAsia="Arial" w:hAnsi="Arial" w:cs="Arial"/>
                <w:sz w:val="20"/>
                <w:szCs w:val="20"/>
              </w:rPr>
            </w:pPr>
            <w:r>
              <w:rPr>
                <w:rFonts w:ascii="Arial" w:hAnsi="Arial"/>
                <w:sz w:val="20"/>
              </w:rPr>
              <w:t>105.8%</w:t>
            </w:r>
          </w:p>
        </w:tc>
        <w:tc>
          <w:tcPr>
            <w:tcW w:w="2130" w:type="dxa"/>
            <w:tcBorders>
              <w:top w:val="nil"/>
              <w:left w:val="nil"/>
              <w:bottom w:val="single" w:sz="6" w:space="0" w:color="000000"/>
              <w:right w:val="single" w:sz="6" w:space="0" w:color="000000"/>
            </w:tcBorders>
            <w:tcMar>
              <w:top w:w="0" w:type="dxa"/>
              <w:left w:w="0" w:type="dxa"/>
              <w:bottom w:w="0" w:type="dxa"/>
              <w:right w:w="0" w:type="dxa"/>
            </w:tcMar>
          </w:tcPr>
          <w:p w14:paraId="2D2A50EC" w14:textId="77777777" w:rsidR="007234A9" w:rsidRDefault="001E4911">
            <w:pPr>
              <w:spacing w:before="240" w:after="120" w:line="360" w:lineRule="auto"/>
              <w:rPr>
                <w:rFonts w:ascii="Arial" w:eastAsia="Arial" w:hAnsi="Arial" w:cs="Arial"/>
                <w:sz w:val="20"/>
                <w:szCs w:val="20"/>
              </w:rPr>
            </w:pPr>
            <w:r>
              <w:rPr>
                <w:rFonts w:ascii="Arial" w:hAnsi="Arial"/>
                <w:sz w:val="20"/>
              </w:rPr>
              <w:t xml:space="preserve"> </w:t>
            </w:r>
          </w:p>
        </w:tc>
      </w:tr>
    </w:tbl>
    <w:p w14:paraId="0450C427"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‎‎Article 4. Approve the adjustment, supplement of production and business lines as follows:</w:t>
      </w:r>
    </w:p>
    <w:tbl>
      <w:tblPr>
        <w:tblStyle w:val="a1"/>
        <w:tblW w:w="9296" w:type="dxa"/>
        <w:tblLayout w:type="fixed"/>
        <w:tblLook w:val="0400" w:firstRow="0" w:lastRow="0" w:firstColumn="0" w:lastColumn="0" w:noHBand="0" w:noVBand="1"/>
      </w:tblPr>
      <w:tblGrid>
        <w:gridCol w:w="1858"/>
        <w:gridCol w:w="3780"/>
        <w:gridCol w:w="3658"/>
      </w:tblGrid>
      <w:tr w:rsidR="007234A9" w14:paraId="41CA5B5F" w14:textId="77777777">
        <w:trPr>
          <w:trHeight w:val="1188"/>
        </w:trPr>
        <w:tc>
          <w:tcPr>
            <w:tcW w:w="1858" w:type="dxa"/>
            <w:tcBorders>
              <w:top w:val="single" w:sz="4" w:space="0" w:color="000000"/>
              <w:left w:val="single" w:sz="4" w:space="0" w:color="000000"/>
            </w:tcBorders>
            <w:shd w:val="clear" w:color="auto" w:fill="FFFFFF"/>
            <w:tcMar>
              <w:top w:w="0" w:type="dxa"/>
              <w:bottom w:w="0" w:type="dxa"/>
            </w:tcMar>
            <w:vAlign w:val="center"/>
          </w:tcPr>
          <w:p w14:paraId="2981B169"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Business code</w:t>
            </w:r>
          </w:p>
        </w:tc>
        <w:tc>
          <w:tcPr>
            <w:tcW w:w="3780" w:type="dxa"/>
            <w:tcBorders>
              <w:top w:val="single" w:sz="4" w:space="0" w:color="000000"/>
              <w:left w:val="single" w:sz="4" w:space="0" w:color="000000"/>
            </w:tcBorders>
            <w:shd w:val="clear" w:color="auto" w:fill="FFFFFF"/>
            <w:tcMar>
              <w:top w:w="0" w:type="dxa"/>
              <w:bottom w:w="0" w:type="dxa"/>
            </w:tcMar>
            <w:vAlign w:val="center"/>
          </w:tcPr>
          <w:p w14:paraId="6F7FC72F"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Name of business lines registered</w:t>
            </w:r>
          </w:p>
        </w:tc>
        <w:tc>
          <w:tcPr>
            <w:tcW w:w="3658"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14:paraId="14093F34"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Name of business lines adjusted</w:t>
            </w:r>
          </w:p>
        </w:tc>
      </w:tr>
      <w:tr w:rsidR="007234A9" w14:paraId="34D883C6" w14:textId="77777777">
        <w:trPr>
          <w:trHeight w:val="1742"/>
        </w:trPr>
        <w:tc>
          <w:tcPr>
            <w:tcW w:w="1858" w:type="dxa"/>
            <w:tcBorders>
              <w:top w:val="single" w:sz="4" w:space="0" w:color="000000"/>
              <w:left w:val="single" w:sz="4" w:space="0" w:color="000000"/>
            </w:tcBorders>
            <w:shd w:val="clear" w:color="auto" w:fill="FFFFFF"/>
            <w:tcMar>
              <w:top w:w="0" w:type="dxa"/>
              <w:bottom w:w="0" w:type="dxa"/>
            </w:tcMar>
            <w:vAlign w:val="center"/>
          </w:tcPr>
          <w:p w14:paraId="0B202F2B"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2396</w:t>
            </w:r>
          </w:p>
        </w:tc>
        <w:tc>
          <w:tcPr>
            <w:tcW w:w="3780" w:type="dxa"/>
            <w:tcBorders>
              <w:top w:val="single" w:sz="4" w:space="0" w:color="000000"/>
              <w:left w:val="single" w:sz="4" w:space="0" w:color="000000"/>
            </w:tcBorders>
            <w:shd w:val="clear" w:color="auto" w:fill="FFFFFF"/>
            <w:tcMar>
              <w:top w:w="0" w:type="dxa"/>
              <w:bottom w:w="0" w:type="dxa"/>
            </w:tcMar>
          </w:tcPr>
          <w:p w14:paraId="6CBE4E6C"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Cutting, shaping and finishing of stone.</w:t>
            </w:r>
          </w:p>
          <w:p w14:paraId="5BD38237"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Details:</w:t>
            </w:r>
          </w:p>
          <w:p w14:paraId="5C3750EB" w14:textId="77777777" w:rsidR="007234A9" w:rsidRDefault="001E4911">
            <w:pPr>
              <w:numPr>
                <w:ilvl w:val="0"/>
                <w:numId w:val="1"/>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Production of sawn stone</w:t>
            </w:r>
          </w:p>
        </w:tc>
        <w:tc>
          <w:tcPr>
            <w:tcW w:w="3658"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14:paraId="51283883"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Cutting, shaping and finishing of stone.</w:t>
            </w:r>
          </w:p>
          <w:p w14:paraId="0F0CDE12" w14:textId="77777777" w:rsidR="007234A9" w:rsidRDefault="001E4911">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Details:</w:t>
            </w:r>
          </w:p>
          <w:p w14:paraId="2F1F80B7" w14:textId="35714C61" w:rsidR="007234A9" w:rsidRPr="001626DC" w:rsidRDefault="001E4911" w:rsidP="001626DC">
            <w:pPr>
              <w:numPr>
                <w:ilvl w:val="0"/>
                <w:numId w:val="1"/>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Production of CaCO3 stone powder</w:t>
            </w:r>
          </w:p>
          <w:p w14:paraId="6699C99D" w14:textId="77777777" w:rsidR="007234A9" w:rsidRDefault="001E4911">
            <w:pPr>
              <w:numPr>
                <w:ilvl w:val="0"/>
                <w:numId w:val="1"/>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Production of sawn stone</w:t>
            </w:r>
          </w:p>
        </w:tc>
      </w:tr>
      <w:tr w:rsidR="007234A9" w14:paraId="6A7278BF" w14:textId="77777777">
        <w:trPr>
          <w:trHeight w:val="1328"/>
        </w:trPr>
        <w:tc>
          <w:tcPr>
            <w:tcW w:w="1858" w:type="dxa"/>
            <w:tcBorders>
              <w:top w:val="single" w:sz="4" w:space="0" w:color="000000"/>
              <w:left w:val="single" w:sz="4" w:space="0" w:color="000000"/>
            </w:tcBorders>
            <w:shd w:val="clear" w:color="auto" w:fill="FFFFFF"/>
            <w:tcMar>
              <w:top w:w="0" w:type="dxa"/>
              <w:bottom w:w="0" w:type="dxa"/>
            </w:tcMar>
            <w:vAlign w:val="center"/>
          </w:tcPr>
          <w:p w14:paraId="71440071" w14:textId="77777777" w:rsidR="007234A9" w:rsidRDefault="001E4911">
            <w:pPr>
              <w:spacing w:after="120" w:line="360" w:lineRule="auto"/>
              <w:rPr>
                <w:rFonts w:ascii="Arial" w:eastAsia="Arial" w:hAnsi="Arial" w:cs="Arial"/>
                <w:sz w:val="20"/>
                <w:szCs w:val="20"/>
              </w:rPr>
            </w:pPr>
            <w:r>
              <w:rPr>
                <w:rFonts w:ascii="Arial" w:hAnsi="Arial"/>
                <w:sz w:val="20"/>
              </w:rPr>
              <w:t>4669</w:t>
            </w:r>
          </w:p>
        </w:tc>
        <w:tc>
          <w:tcPr>
            <w:tcW w:w="3780" w:type="dxa"/>
            <w:tcBorders>
              <w:top w:val="single" w:sz="4" w:space="0" w:color="000000"/>
              <w:left w:val="single" w:sz="4" w:space="0" w:color="000000"/>
            </w:tcBorders>
            <w:shd w:val="clear" w:color="auto" w:fill="FFFFFF"/>
            <w:tcMar>
              <w:top w:w="0" w:type="dxa"/>
              <w:bottom w:w="0" w:type="dxa"/>
            </w:tcMar>
            <w:vAlign w:val="bottom"/>
          </w:tcPr>
          <w:p w14:paraId="58D1F41F" w14:textId="77777777" w:rsidR="007234A9" w:rsidRDefault="001E4911">
            <w:pPr>
              <w:spacing w:after="120" w:line="360" w:lineRule="auto"/>
              <w:rPr>
                <w:rFonts w:ascii="Arial" w:eastAsia="Arial" w:hAnsi="Arial" w:cs="Arial"/>
                <w:sz w:val="20"/>
                <w:szCs w:val="20"/>
              </w:rPr>
            </w:pPr>
            <w:r>
              <w:rPr>
                <w:rFonts w:ascii="Arial" w:hAnsi="Arial"/>
                <w:sz w:val="20"/>
              </w:rPr>
              <w:t>Wholesale specializing in other businesses not yet classified</w:t>
            </w:r>
          </w:p>
          <w:p w14:paraId="098F39E2" w14:textId="77777777" w:rsidR="007234A9" w:rsidRDefault="001E4911">
            <w:pPr>
              <w:spacing w:after="120" w:line="360" w:lineRule="auto"/>
              <w:rPr>
                <w:rFonts w:ascii="Arial" w:eastAsia="Arial" w:hAnsi="Arial" w:cs="Arial"/>
                <w:sz w:val="20"/>
                <w:szCs w:val="20"/>
              </w:rPr>
            </w:pPr>
            <w:r>
              <w:rPr>
                <w:rFonts w:ascii="Arial" w:hAnsi="Arial"/>
                <w:sz w:val="20"/>
              </w:rPr>
              <w:t>Details: Trading all kinds of superfine white limestone powder products</w:t>
            </w:r>
          </w:p>
        </w:tc>
        <w:tc>
          <w:tcPr>
            <w:tcW w:w="3658"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14:paraId="56AC46CD" w14:textId="77777777" w:rsidR="007234A9" w:rsidRDefault="001E4911">
            <w:pPr>
              <w:spacing w:after="120" w:line="360" w:lineRule="auto"/>
              <w:rPr>
                <w:rFonts w:ascii="Arial" w:eastAsia="Arial" w:hAnsi="Arial" w:cs="Arial"/>
                <w:sz w:val="20"/>
                <w:szCs w:val="20"/>
              </w:rPr>
            </w:pPr>
            <w:r>
              <w:rPr>
                <w:rFonts w:ascii="Arial" w:hAnsi="Arial"/>
                <w:sz w:val="20"/>
              </w:rPr>
              <w:t>Wholesale specializing in other businesses not yet classified</w:t>
            </w:r>
          </w:p>
          <w:p w14:paraId="2A250D0D" w14:textId="77777777" w:rsidR="007234A9" w:rsidRDefault="001E4911">
            <w:pPr>
              <w:spacing w:after="120" w:line="360" w:lineRule="auto"/>
              <w:rPr>
                <w:rFonts w:ascii="Arial" w:eastAsia="Arial" w:hAnsi="Arial" w:cs="Arial"/>
                <w:sz w:val="20"/>
                <w:szCs w:val="20"/>
              </w:rPr>
            </w:pPr>
            <w:r>
              <w:rPr>
                <w:rFonts w:ascii="Arial" w:hAnsi="Arial"/>
                <w:sz w:val="20"/>
              </w:rPr>
              <w:t>Details: Trading all kinds of CaCO3 stone powder products</w:t>
            </w:r>
          </w:p>
        </w:tc>
      </w:tr>
      <w:tr w:rsidR="007234A9" w14:paraId="0A7AB8E6" w14:textId="77777777">
        <w:trPr>
          <w:trHeight w:val="1336"/>
        </w:trPr>
        <w:tc>
          <w:tcPr>
            <w:tcW w:w="1858"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14:paraId="448F2D19" w14:textId="77777777" w:rsidR="007234A9" w:rsidRDefault="001E4911">
            <w:pPr>
              <w:spacing w:after="120" w:line="360" w:lineRule="auto"/>
              <w:rPr>
                <w:rFonts w:ascii="Arial" w:eastAsia="Arial" w:hAnsi="Arial" w:cs="Arial"/>
                <w:sz w:val="20"/>
                <w:szCs w:val="20"/>
              </w:rPr>
            </w:pPr>
            <w:r>
              <w:rPr>
                <w:rFonts w:ascii="Arial" w:hAnsi="Arial"/>
                <w:sz w:val="20"/>
              </w:rPr>
              <w:t>4799</w:t>
            </w:r>
          </w:p>
        </w:tc>
        <w:tc>
          <w:tcPr>
            <w:tcW w:w="3780"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14:paraId="43C1FFA2" w14:textId="77777777" w:rsidR="007234A9" w:rsidRDefault="001E4911">
            <w:pPr>
              <w:spacing w:after="120" w:line="360" w:lineRule="auto"/>
              <w:rPr>
                <w:rFonts w:ascii="Arial" w:eastAsia="Arial" w:hAnsi="Arial" w:cs="Arial"/>
                <w:sz w:val="20"/>
                <w:szCs w:val="20"/>
              </w:rPr>
            </w:pPr>
            <w:r>
              <w:rPr>
                <w:rFonts w:ascii="Arial" w:hAnsi="Arial"/>
                <w:sz w:val="20"/>
              </w:rPr>
              <w:t>Other forms of retail not yet classified</w:t>
            </w:r>
          </w:p>
          <w:p w14:paraId="0478C4BE" w14:textId="77777777" w:rsidR="007234A9" w:rsidRDefault="001E4911">
            <w:pPr>
              <w:spacing w:after="120" w:line="360" w:lineRule="auto"/>
              <w:rPr>
                <w:rFonts w:ascii="Arial" w:eastAsia="Arial" w:hAnsi="Arial" w:cs="Arial"/>
                <w:sz w:val="20"/>
                <w:szCs w:val="20"/>
              </w:rPr>
            </w:pPr>
            <w:r>
              <w:rPr>
                <w:rFonts w:ascii="Arial" w:hAnsi="Arial"/>
                <w:sz w:val="20"/>
              </w:rPr>
              <w:t>Details: Retail all kinds of superfine white limestone powder products</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14:paraId="28206D2A" w14:textId="77777777" w:rsidR="007234A9" w:rsidRDefault="001E4911">
            <w:pPr>
              <w:spacing w:after="120" w:line="360" w:lineRule="auto"/>
              <w:rPr>
                <w:rFonts w:ascii="Arial" w:eastAsia="Arial" w:hAnsi="Arial" w:cs="Arial"/>
                <w:sz w:val="20"/>
                <w:szCs w:val="20"/>
              </w:rPr>
            </w:pPr>
            <w:r>
              <w:rPr>
                <w:rFonts w:ascii="Arial" w:hAnsi="Arial"/>
                <w:sz w:val="20"/>
              </w:rPr>
              <w:t>Other forms of retail not yet classified</w:t>
            </w:r>
          </w:p>
          <w:p w14:paraId="7F08AA50" w14:textId="77777777" w:rsidR="007234A9" w:rsidRDefault="001E4911">
            <w:pPr>
              <w:spacing w:after="120" w:line="360" w:lineRule="auto"/>
              <w:rPr>
                <w:rFonts w:ascii="Arial" w:eastAsia="Arial" w:hAnsi="Arial" w:cs="Arial"/>
                <w:sz w:val="20"/>
                <w:szCs w:val="20"/>
              </w:rPr>
            </w:pPr>
            <w:r>
              <w:rPr>
                <w:rFonts w:ascii="Arial" w:hAnsi="Arial"/>
                <w:sz w:val="20"/>
              </w:rPr>
              <w:t>Details: Retail all kinds of CaCO3 stone powders products</w:t>
            </w:r>
          </w:p>
        </w:tc>
      </w:tr>
    </w:tbl>
    <w:p w14:paraId="21141085"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The General Meeting of Shareholders assigned the Board of Directors to carry out procedures for adjustment and supplement new business lines with the business registration agency and agreed on supplementing new business lines to the company's charter when a new business registration certificate was re-issued.</w:t>
      </w:r>
    </w:p>
    <w:p w14:paraId="19CA844D"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5. Approve the Report on activities of the Supervisory Board 2023 and the operating orientation in 2024.</w:t>
      </w:r>
    </w:p>
    <w:p w14:paraId="09424A7A"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6. Approve the plan on profit distribution 2023:</w:t>
      </w:r>
    </w:p>
    <w:tbl>
      <w:tblPr>
        <w:tblStyle w:val="a2"/>
        <w:tblW w:w="9367" w:type="dxa"/>
        <w:tblLayout w:type="fixed"/>
        <w:tblLook w:val="0400" w:firstRow="0" w:lastRow="0" w:firstColumn="0" w:lastColumn="0" w:noHBand="0" w:noVBand="1"/>
      </w:tblPr>
      <w:tblGrid>
        <w:gridCol w:w="702"/>
        <w:gridCol w:w="6613"/>
        <w:gridCol w:w="2052"/>
      </w:tblGrid>
      <w:tr w:rsidR="007234A9" w14:paraId="26FCEFFB" w14:textId="77777777">
        <w:trPr>
          <w:trHeight w:val="799"/>
        </w:trPr>
        <w:tc>
          <w:tcPr>
            <w:tcW w:w="702" w:type="dxa"/>
            <w:tcBorders>
              <w:top w:val="single" w:sz="4" w:space="0" w:color="000000"/>
              <w:left w:val="single" w:sz="4" w:space="0" w:color="000000"/>
            </w:tcBorders>
            <w:shd w:val="clear" w:color="auto" w:fill="FFFFFF"/>
            <w:tcMar>
              <w:top w:w="0" w:type="dxa"/>
              <w:bottom w:w="0" w:type="dxa"/>
            </w:tcMar>
            <w:vAlign w:val="center"/>
          </w:tcPr>
          <w:p w14:paraId="4F2FEF41"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lastRenderedPageBreak/>
              <w:t>No.</w:t>
            </w:r>
          </w:p>
        </w:tc>
        <w:tc>
          <w:tcPr>
            <w:tcW w:w="6613" w:type="dxa"/>
            <w:tcBorders>
              <w:top w:val="single" w:sz="4" w:space="0" w:color="000000"/>
              <w:left w:val="single" w:sz="4" w:space="0" w:color="000000"/>
            </w:tcBorders>
            <w:shd w:val="clear" w:color="auto" w:fill="FFFFFF"/>
            <w:tcMar>
              <w:top w:w="0" w:type="dxa"/>
              <w:bottom w:w="0" w:type="dxa"/>
            </w:tcMar>
            <w:vAlign w:val="center"/>
          </w:tcPr>
          <w:p w14:paraId="7CFA6EA5"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Target</w:t>
            </w:r>
          </w:p>
        </w:tc>
        <w:tc>
          <w:tcPr>
            <w:tcW w:w="2052"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14:paraId="2E73AE92"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Amount (VND)</w:t>
            </w:r>
          </w:p>
        </w:tc>
      </w:tr>
      <w:tr w:rsidR="007234A9" w14:paraId="0ED564F7" w14:textId="77777777">
        <w:trPr>
          <w:trHeight w:val="605"/>
        </w:trPr>
        <w:tc>
          <w:tcPr>
            <w:tcW w:w="702" w:type="dxa"/>
            <w:tcBorders>
              <w:top w:val="single" w:sz="4" w:space="0" w:color="000000"/>
              <w:left w:val="single" w:sz="4" w:space="0" w:color="000000"/>
            </w:tcBorders>
            <w:shd w:val="clear" w:color="auto" w:fill="FFFFFF"/>
            <w:tcMar>
              <w:top w:w="0" w:type="dxa"/>
              <w:bottom w:w="0" w:type="dxa"/>
            </w:tcMar>
            <w:vAlign w:val="bottom"/>
          </w:tcPr>
          <w:p w14:paraId="508F3AF6"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w:t>
            </w:r>
          </w:p>
        </w:tc>
        <w:tc>
          <w:tcPr>
            <w:tcW w:w="6613" w:type="dxa"/>
            <w:tcBorders>
              <w:top w:val="single" w:sz="4" w:space="0" w:color="000000"/>
              <w:left w:val="single" w:sz="4" w:space="0" w:color="000000"/>
            </w:tcBorders>
            <w:shd w:val="clear" w:color="auto" w:fill="FFFFFF"/>
            <w:tcMar>
              <w:top w:w="0" w:type="dxa"/>
              <w:bottom w:w="0" w:type="dxa"/>
            </w:tcMar>
            <w:vAlign w:val="center"/>
          </w:tcPr>
          <w:p w14:paraId="21D5D3D9"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Total undistributed profit after tax 2023</w:t>
            </w:r>
          </w:p>
        </w:tc>
        <w:tc>
          <w:tcPr>
            <w:tcW w:w="2052"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14:paraId="232CF590"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6,436,466,355</w:t>
            </w:r>
          </w:p>
        </w:tc>
      </w:tr>
      <w:tr w:rsidR="007234A9" w14:paraId="373A545B" w14:textId="77777777">
        <w:trPr>
          <w:trHeight w:val="605"/>
        </w:trPr>
        <w:tc>
          <w:tcPr>
            <w:tcW w:w="702" w:type="dxa"/>
            <w:tcBorders>
              <w:top w:val="single" w:sz="4" w:space="0" w:color="000000"/>
              <w:left w:val="single" w:sz="4" w:space="0" w:color="000000"/>
            </w:tcBorders>
            <w:shd w:val="clear" w:color="auto" w:fill="FFFFFF"/>
            <w:tcMar>
              <w:top w:w="0" w:type="dxa"/>
              <w:bottom w:w="0" w:type="dxa"/>
            </w:tcMar>
            <w:vAlign w:val="bottom"/>
          </w:tcPr>
          <w:p w14:paraId="2B8F0E6E"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2</w:t>
            </w:r>
          </w:p>
        </w:tc>
        <w:tc>
          <w:tcPr>
            <w:tcW w:w="6613" w:type="dxa"/>
            <w:tcBorders>
              <w:top w:val="single" w:sz="4" w:space="0" w:color="000000"/>
              <w:left w:val="single" w:sz="4" w:space="0" w:color="000000"/>
            </w:tcBorders>
            <w:shd w:val="clear" w:color="auto" w:fill="FFFFFF"/>
            <w:tcMar>
              <w:top w:w="0" w:type="dxa"/>
              <w:bottom w:w="0" w:type="dxa"/>
            </w:tcMar>
            <w:vAlign w:val="center"/>
          </w:tcPr>
          <w:p w14:paraId="2A295C5E"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Appropriation for dividend payment 2023 to shareholders (13% of charter capital)</w:t>
            </w:r>
          </w:p>
        </w:tc>
        <w:tc>
          <w:tcPr>
            <w:tcW w:w="2052"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14:paraId="0FC943CA"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3,705,000,000</w:t>
            </w:r>
          </w:p>
        </w:tc>
      </w:tr>
      <w:tr w:rsidR="007234A9" w14:paraId="44437F72" w14:textId="77777777">
        <w:trPr>
          <w:trHeight w:val="594"/>
        </w:trPr>
        <w:tc>
          <w:tcPr>
            <w:tcW w:w="702" w:type="dxa"/>
            <w:tcBorders>
              <w:top w:val="single" w:sz="4" w:space="0" w:color="000000"/>
              <w:left w:val="single" w:sz="4" w:space="0" w:color="000000"/>
            </w:tcBorders>
            <w:shd w:val="clear" w:color="auto" w:fill="FFFFFF"/>
            <w:tcMar>
              <w:top w:w="0" w:type="dxa"/>
              <w:bottom w:w="0" w:type="dxa"/>
            </w:tcMar>
            <w:vAlign w:val="center"/>
          </w:tcPr>
          <w:p w14:paraId="53C2F4D5"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3</w:t>
            </w:r>
          </w:p>
        </w:tc>
        <w:tc>
          <w:tcPr>
            <w:tcW w:w="6613" w:type="dxa"/>
            <w:tcBorders>
              <w:top w:val="single" w:sz="4" w:space="0" w:color="000000"/>
              <w:left w:val="single" w:sz="4" w:space="0" w:color="000000"/>
            </w:tcBorders>
            <w:shd w:val="clear" w:color="auto" w:fill="FFFFFF"/>
            <w:tcMar>
              <w:top w:w="0" w:type="dxa"/>
              <w:bottom w:w="0" w:type="dxa"/>
            </w:tcMar>
            <w:vAlign w:val="center"/>
          </w:tcPr>
          <w:p w14:paraId="79377E0B"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Appropriation for the bonus fund for the Executive Board</w:t>
            </w:r>
          </w:p>
        </w:tc>
        <w:tc>
          <w:tcPr>
            <w:tcW w:w="2052"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14:paraId="60EB7710"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150,000,000</w:t>
            </w:r>
          </w:p>
        </w:tc>
      </w:tr>
      <w:tr w:rsidR="007234A9" w14:paraId="7A5D5985" w14:textId="77777777">
        <w:trPr>
          <w:trHeight w:val="601"/>
        </w:trPr>
        <w:tc>
          <w:tcPr>
            <w:tcW w:w="702" w:type="dxa"/>
            <w:tcBorders>
              <w:top w:val="single" w:sz="4" w:space="0" w:color="000000"/>
              <w:left w:val="single" w:sz="4" w:space="0" w:color="000000"/>
            </w:tcBorders>
            <w:shd w:val="clear" w:color="auto" w:fill="FFFFFF"/>
            <w:tcMar>
              <w:top w:w="0" w:type="dxa"/>
              <w:bottom w:w="0" w:type="dxa"/>
            </w:tcMar>
            <w:vAlign w:val="center"/>
          </w:tcPr>
          <w:p w14:paraId="6C7D2210"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4</w:t>
            </w:r>
          </w:p>
        </w:tc>
        <w:tc>
          <w:tcPr>
            <w:tcW w:w="6613" w:type="dxa"/>
            <w:tcBorders>
              <w:top w:val="single" w:sz="4" w:space="0" w:color="000000"/>
              <w:left w:val="single" w:sz="4" w:space="0" w:color="000000"/>
            </w:tcBorders>
            <w:shd w:val="clear" w:color="auto" w:fill="FFFFFF"/>
            <w:tcMar>
              <w:top w:w="0" w:type="dxa"/>
              <w:bottom w:w="0" w:type="dxa"/>
            </w:tcMar>
            <w:vAlign w:val="center"/>
          </w:tcPr>
          <w:p w14:paraId="17909E00"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Appropriation on 10% for the bonus and welfare fund</w:t>
            </w:r>
          </w:p>
        </w:tc>
        <w:tc>
          <w:tcPr>
            <w:tcW w:w="2052" w:type="dxa"/>
            <w:tcBorders>
              <w:top w:val="single" w:sz="4" w:space="0" w:color="000000"/>
              <w:left w:val="single" w:sz="4" w:space="0" w:color="000000"/>
              <w:right w:val="single" w:sz="4" w:space="0" w:color="000000"/>
            </w:tcBorders>
            <w:shd w:val="clear" w:color="auto" w:fill="FFFFFF"/>
            <w:tcMar>
              <w:top w:w="0" w:type="dxa"/>
              <w:bottom w:w="0" w:type="dxa"/>
            </w:tcMar>
            <w:vAlign w:val="center"/>
          </w:tcPr>
          <w:p w14:paraId="220A25EA"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643,646,635</w:t>
            </w:r>
          </w:p>
        </w:tc>
      </w:tr>
      <w:tr w:rsidR="007234A9" w14:paraId="76ECEF4F" w14:textId="77777777">
        <w:trPr>
          <w:trHeight w:val="619"/>
        </w:trPr>
        <w:tc>
          <w:tcPr>
            <w:tcW w:w="702"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14:paraId="6A404983"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5</w:t>
            </w:r>
          </w:p>
        </w:tc>
        <w:tc>
          <w:tcPr>
            <w:tcW w:w="6613" w:type="dxa"/>
            <w:tcBorders>
              <w:top w:val="single" w:sz="4" w:space="0" w:color="000000"/>
              <w:left w:val="single" w:sz="4" w:space="0" w:color="000000"/>
              <w:bottom w:val="single" w:sz="4" w:space="0" w:color="000000"/>
            </w:tcBorders>
            <w:shd w:val="clear" w:color="auto" w:fill="FFFFFF"/>
            <w:tcMar>
              <w:top w:w="0" w:type="dxa"/>
              <w:bottom w:w="0" w:type="dxa"/>
            </w:tcMar>
            <w:vAlign w:val="center"/>
          </w:tcPr>
          <w:p w14:paraId="3F510CB8"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The remainder deducted for investment and development fund</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14:paraId="2361B86D"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1,937,819,720</w:t>
            </w:r>
          </w:p>
        </w:tc>
      </w:tr>
    </w:tbl>
    <w:p w14:paraId="7AA58F00"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7. Approve the settlement of remuneration for the Board of Directors and the Supervisory Board 2023. The remuneration settlement plan for the Board of Directors and the Supervisory Board 2024.</w:t>
      </w:r>
    </w:p>
    <w:p w14:paraId="3C6BE305" w14:textId="51386EE2" w:rsidR="007234A9" w:rsidRDefault="001E4911" w:rsidP="004D1906">
      <w:pPr>
        <w:numPr>
          <w:ilvl w:val="0"/>
          <w:numId w:val="2"/>
        </w:numPr>
        <w:pBdr>
          <w:top w:val="nil"/>
          <w:left w:val="nil"/>
          <w:bottom w:val="nil"/>
          <w:right w:val="nil"/>
          <w:between w:val="nil"/>
        </w:pBdr>
        <w:tabs>
          <w:tab w:val="left" w:pos="952"/>
        </w:tabs>
        <w:spacing w:after="120" w:line="360" w:lineRule="auto"/>
        <w:ind w:left="0" w:firstLine="0"/>
        <w:jc w:val="both"/>
        <w:rPr>
          <w:rFonts w:ascii="Arial" w:eastAsia="Arial" w:hAnsi="Arial" w:cs="Arial"/>
          <w:sz w:val="20"/>
          <w:szCs w:val="20"/>
        </w:rPr>
      </w:pPr>
      <w:r>
        <w:rPr>
          <w:rFonts w:ascii="Arial" w:hAnsi="Arial"/>
          <w:sz w:val="20"/>
        </w:rPr>
        <w:t>Results 2023:</w:t>
      </w:r>
    </w:p>
    <w:p w14:paraId="11F0FF93"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Based on actual figures after being audited, the Annual General Meeting of Shareholders approved the operating expenses of the Board of Directors and the Supervisory Board in 2023 as follows:</w:t>
      </w:r>
    </w:p>
    <w:p w14:paraId="65896C30" w14:textId="77777777" w:rsidR="007234A9" w:rsidRDefault="001E4911" w:rsidP="004D1906">
      <w:pPr>
        <w:numPr>
          <w:ilvl w:val="0"/>
          <w:numId w:val="6"/>
        </w:numPr>
        <w:pBdr>
          <w:top w:val="nil"/>
          <w:left w:val="nil"/>
          <w:bottom w:val="nil"/>
          <w:right w:val="nil"/>
          <w:between w:val="nil"/>
        </w:pBdr>
        <w:tabs>
          <w:tab w:val="left" w:pos="832"/>
          <w:tab w:val="left" w:pos="6777"/>
        </w:tabs>
        <w:spacing w:after="120" w:line="360" w:lineRule="auto"/>
        <w:jc w:val="both"/>
        <w:rPr>
          <w:rFonts w:ascii="Arial" w:eastAsia="Arial" w:hAnsi="Arial" w:cs="Arial"/>
          <w:sz w:val="20"/>
          <w:szCs w:val="20"/>
        </w:rPr>
      </w:pPr>
      <w:r>
        <w:rPr>
          <w:rFonts w:ascii="Arial" w:hAnsi="Arial"/>
          <w:sz w:val="20"/>
        </w:rPr>
        <w:t>Remuneration for the Board of Directors:  VND 353,406,499</w:t>
      </w:r>
    </w:p>
    <w:p w14:paraId="640859B5" w14:textId="77777777" w:rsidR="007234A9" w:rsidRDefault="001E4911" w:rsidP="004D1906">
      <w:pPr>
        <w:numPr>
          <w:ilvl w:val="0"/>
          <w:numId w:val="6"/>
        </w:numPr>
        <w:pBdr>
          <w:top w:val="nil"/>
          <w:left w:val="nil"/>
          <w:bottom w:val="nil"/>
          <w:right w:val="nil"/>
          <w:between w:val="nil"/>
        </w:pBdr>
        <w:tabs>
          <w:tab w:val="left" w:pos="836"/>
        </w:tabs>
        <w:spacing w:after="120" w:line="360" w:lineRule="auto"/>
        <w:jc w:val="both"/>
        <w:rPr>
          <w:rFonts w:ascii="Arial" w:eastAsia="Arial" w:hAnsi="Arial" w:cs="Arial"/>
          <w:sz w:val="20"/>
          <w:szCs w:val="20"/>
        </w:rPr>
      </w:pPr>
      <w:proofErr w:type="spellStart"/>
      <w:r>
        <w:rPr>
          <w:rFonts w:ascii="Arial" w:hAnsi="Arial"/>
          <w:sz w:val="20"/>
        </w:rPr>
        <w:t>Renumeration</w:t>
      </w:r>
      <w:proofErr w:type="spellEnd"/>
      <w:r>
        <w:rPr>
          <w:rFonts w:ascii="Arial" w:hAnsi="Arial"/>
          <w:sz w:val="20"/>
        </w:rPr>
        <w:t xml:space="preserve"> for the Secretariat of the Board of Directors and the Supervisory Board:  VND 216,355,776</w:t>
      </w:r>
    </w:p>
    <w:p w14:paraId="2F6660A7" w14:textId="23F5A984" w:rsidR="007234A9" w:rsidRDefault="001E4911" w:rsidP="004D1906">
      <w:pPr>
        <w:numPr>
          <w:ilvl w:val="0"/>
          <w:numId w:val="2"/>
        </w:numPr>
        <w:pBdr>
          <w:top w:val="nil"/>
          <w:left w:val="nil"/>
          <w:bottom w:val="nil"/>
          <w:right w:val="nil"/>
          <w:between w:val="nil"/>
        </w:pBdr>
        <w:tabs>
          <w:tab w:val="left" w:pos="872"/>
        </w:tabs>
        <w:spacing w:after="120" w:line="360" w:lineRule="auto"/>
        <w:ind w:left="0" w:firstLine="0"/>
        <w:jc w:val="both"/>
        <w:rPr>
          <w:rFonts w:ascii="Arial" w:eastAsia="Arial" w:hAnsi="Arial" w:cs="Arial"/>
          <w:sz w:val="20"/>
          <w:szCs w:val="20"/>
        </w:rPr>
      </w:pPr>
      <w:r>
        <w:rPr>
          <w:rFonts w:ascii="Arial" w:hAnsi="Arial"/>
          <w:sz w:val="20"/>
        </w:rPr>
        <w:t>Plan 2024:</w:t>
      </w:r>
    </w:p>
    <w:p w14:paraId="0596AFBA"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Based on production and business plan 2024, the General Meeting of Shareholders approved the remuneration payment for the Board of Directors and the Supervisory Board for 2024 as follows:</w:t>
      </w:r>
    </w:p>
    <w:p w14:paraId="00E029DF" w14:textId="77777777" w:rsidR="007234A9" w:rsidRDefault="001E4911" w:rsidP="004D1906">
      <w:pPr>
        <w:numPr>
          <w:ilvl w:val="0"/>
          <w:numId w:val="6"/>
        </w:numPr>
        <w:pBdr>
          <w:top w:val="nil"/>
          <w:left w:val="nil"/>
          <w:bottom w:val="nil"/>
          <w:right w:val="nil"/>
          <w:between w:val="nil"/>
        </w:pBdr>
        <w:tabs>
          <w:tab w:val="left" w:pos="836"/>
        </w:tabs>
        <w:spacing w:after="120" w:line="360" w:lineRule="auto"/>
        <w:jc w:val="both"/>
        <w:rPr>
          <w:rFonts w:ascii="Arial" w:eastAsia="Arial" w:hAnsi="Arial" w:cs="Arial"/>
          <w:sz w:val="20"/>
          <w:szCs w:val="20"/>
        </w:rPr>
      </w:pPr>
      <w:bookmarkStart w:id="0" w:name="_heading=h.gjdgxs"/>
      <w:bookmarkEnd w:id="0"/>
      <w:r>
        <w:rPr>
          <w:rFonts w:ascii="Arial" w:hAnsi="Arial"/>
          <w:sz w:val="20"/>
        </w:rPr>
        <w:t>The Board of Directors:</w:t>
      </w:r>
    </w:p>
    <w:p w14:paraId="32B30570" w14:textId="77777777" w:rsidR="007234A9" w:rsidRDefault="001E4911" w:rsidP="004D1906">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Members of the Board of Directors: Entitled to 15% of the salary of the Manager;</w:t>
      </w:r>
    </w:p>
    <w:p w14:paraId="18E460B9" w14:textId="77777777" w:rsidR="007234A9" w:rsidRDefault="001E4911" w:rsidP="004D1906">
      <w:pPr>
        <w:numPr>
          <w:ilvl w:val="0"/>
          <w:numId w:val="3"/>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The Secretary of the Board of Directors: Entitled to 15% of the salary of the Chief Accountant;</w:t>
      </w:r>
    </w:p>
    <w:p w14:paraId="0C5F5FAE" w14:textId="77777777" w:rsidR="007234A9" w:rsidRDefault="001E4911" w:rsidP="004D1906">
      <w:pPr>
        <w:numPr>
          <w:ilvl w:val="0"/>
          <w:numId w:val="4"/>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The Supervisory Board;</w:t>
      </w:r>
    </w:p>
    <w:p w14:paraId="41E65676" w14:textId="77777777" w:rsidR="007234A9" w:rsidRDefault="001E4911" w:rsidP="004D1906">
      <w:pPr>
        <w:numPr>
          <w:ilvl w:val="0"/>
          <w:numId w:val="5"/>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Chief of the Supervisory Board Entitled to 20% of the salary of the Chief Accountant;</w:t>
      </w:r>
    </w:p>
    <w:p w14:paraId="3C8FD08F" w14:textId="77777777" w:rsidR="007234A9" w:rsidRDefault="001E4911" w:rsidP="004D1906">
      <w:pPr>
        <w:numPr>
          <w:ilvl w:val="0"/>
          <w:numId w:val="5"/>
        </w:numPr>
        <w:pBdr>
          <w:top w:val="nil"/>
          <w:left w:val="nil"/>
          <w:bottom w:val="nil"/>
          <w:right w:val="nil"/>
          <w:between w:val="nil"/>
        </w:pBdr>
        <w:spacing w:after="120" w:line="360" w:lineRule="auto"/>
        <w:ind w:left="0" w:firstLine="0"/>
        <w:jc w:val="both"/>
        <w:rPr>
          <w:rFonts w:ascii="Arial" w:eastAsia="Arial" w:hAnsi="Arial" w:cs="Arial"/>
          <w:sz w:val="20"/>
          <w:szCs w:val="20"/>
        </w:rPr>
      </w:pPr>
      <w:r>
        <w:rPr>
          <w:rFonts w:ascii="Arial" w:hAnsi="Arial"/>
          <w:sz w:val="20"/>
        </w:rPr>
        <w:t>Member of the Supervisory Board: Entitled to 15% of the salary of the Chief Accountant;</w:t>
      </w:r>
    </w:p>
    <w:p w14:paraId="7440DE74"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8. Select an audit company for the Financial Statements 2024:</w:t>
      </w:r>
    </w:p>
    <w:p w14:paraId="77A3068B" w14:textId="77777777" w:rsidR="007234A9" w:rsidRDefault="001E4911" w:rsidP="004D1906">
      <w:pPr>
        <w:numPr>
          <w:ilvl w:val="0"/>
          <w:numId w:val="2"/>
        </w:numPr>
        <w:pBdr>
          <w:top w:val="nil"/>
          <w:left w:val="nil"/>
          <w:bottom w:val="nil"/>
          <w:right w:val="nil"/>
          <w:between w:val="nil"/>
        </w:pBdr>
        <w:tabs>
          <w:tab w:val="left" w:pos="880"/>
        </w:tabs>
        <w:spacing w:after="120" w:line="360" w:lineRule="auto"/>
        <w:ind w:left="0" w:firstLine="0"/>
        <w:jc w:val="both"/>
        <w:rPr>
          <w:rFonts w:ascii="Arial" w:eastAsia="Arial" w:hAnsi="Arial" w:cs="Arial"/>
          <w:sz w:val="20"/>
          <w:szCs w:val="20"/>
        </w:rPr>
      </w:pPr>
      <w:r>
        <w:rPr>
          <w:rFonts w:ascii="Arial" w:hAnsi="Arial"/>
          <w:sz w:val="20"/>
        </w:rPr>
        <w:t>The General Meeting authorized the Supervisory Board to select an audit company for the Financial Statements 2024 as one of the 4 companies according to the Proposal of the Supervisory Board before the meeting but must select an audit company that can consult well for the Board of Directors, the Board of Managers in managing and operating production and business in accordance with regulations.</w:t>
      </w:r>
    </w:p>
    <w:p w14:paraId="443EECD2" w14:textId="77777777" w:rsidR="007234A9" w:rsidRDefault="001E4911" w:rsidP="004D1906">
      <w:pPr>
        <w:numPr>
          <w:ilvl w:val="0"/>
          <w:numId w:val="7"/>
        </w:numPr>
        <w:pBdr>
          <w:top w:val="nil"/>
          <w:left w:val="nil"/>
          <w:bottom w:val="nil"/>
          <w:right w:val="nil"/>
          <w:between w:val="nil"/>
        </w:pBdr>
        <w:tabs>
          <w:tab w:val="left" w:pos="1105"/>
        </w:tabs>
        <w:spacing w:after="120" w:line="360" w:lineRule="auto"/>
        <w:jc w:val="both"/>
        <w:rPr>
          <w:rFonts w:ascii="Arial" w:eastAsia="Arial" w:hAnsi="Arial" w:cs="Arial"/>
          <w:sz w:val="20"/>
          <w:szCs w:val="20"/>
        </w:rPr>
      </w:pPr>
      <w:r>
        <w:rPr>
          <w:rFonts w:ascii="Arial" w:hAnsi="Arial"/>
          <w:sz w:val="20"/>
        </w:rPr>
        <w:lastRenderedPageBreak/>
        <w:t>AASC Auditing Firm Company Limited - the audit company of the Financial Statements 2020 of AMC</w:t>
      </w:r>
    </w:p>
    <w:p w14:paraId="3D10048A" w14:textId="77777777" w:rsidR="007234A9" w:rsidRDefault="001E4911" w:rsidP="004D1906">
      <w:pPr>
        <w:numPr>
          <w:ilvl w:val="0"/>
          <w:numId w:val="6"/>
        </w:numPr>
        <w:pBdr>
          <w:top w:val="nil"/>
          <w:left w:val="nil"/>
          <w:bottom w:val="nil"/>
          <w:right w:val="nil"/>
          <w:between w:val="nil"/>
        </w:pBdr>
        <w:tabs>
          <w:tab w:val="left" w:pos="836"/>
        </w:tabs>
        <w:spacing w:after="120" w:line="360" w:lineRule="auto"/>
        <w:jc w:val="both"/>
        <w:rPr>
          <w:rFonts w:ascii="Arial" w:eastAsia="Arial" w:hAnsi="Arial" w:cs="Arial"/>
          <w:sz w:val="20"/>
          <w:szCs w:val="20"/>
        </w:rPr>
      </w:pPr>
      <w:r>
        <w:rPr>
          <w:rFonts w:ascii="Arial" w:hAnsi="Arial"/>
          <w:sz w:val="20"/>
        </w:rPr>
        <w:t xml:space="preserve">Address: 1 Le </w:t>
      </w:r>
      <w:proofErr w:type="spellStart"/>
      <w:r>
        <w:rPr>
          <w:rFonts w:ascii="Arial" w:hAnsi="Arial"/>
          <w:sz w:val="20"/>
        </w:rPr>
        <w:t>Phung</w:t>
      </w:r>
      <w:proofErr w:type="spellEnd"/>
      <w:r>
        <w:rPr>
          <w:rFonts w:ascii="Arial" w:hAnsi="Arial"/>
          <w:sz w:val="20"/>
        </w:rPr>
        <w:t xml:space="preserve"> </w:t>
      </w:r>
      <w:proofErr w:type="spellStart"/>
      <w:r>
        <w:rPr>
          <w:rFonts w:ascii="Arial" w:hAnsi="Arial"/>
          <w:sz w:val="20"/>
        </w:rPr>
        <w:t>Hieu</w:t>
      </w:r>
      <w:proofErr w:type="spellEnd"/>
      <w:r>
        <w:rPr>
          <w:rFonts w:ascii="Arial" w:hAnsi="Arial"/>
          <w:sz w:val="20"/>
        </w:rPr>
        <w:t xml:space="preserve">, Trang Tien, </w:t>
      </w:r>
      <w:proofErr w:type="spellStart"/>
      <w:r>
        <w:rPr>
          <w:rFonts w:ascii="Arial" w:hAnsi="Arial"/>
          <w:sz w:val="20"/>
        </w:rPr>
        <w:t>Hoan</w:t>
      </w:r>
      <w:proofErr w:type="spellEnd"/>
      <w:r>
        <w:rPr>
          <w:rFonts w:ascii="Arial" w:hAnsi="Arial"/>
          <w:sz w:val="20"/>
        </w:rPr>
        <w:t xml:space="preserve"> </w:t>
      </w:r>
      <w:proofErr w:type="spellStart"/>
      <w:r>
        <w:rPr>
          <w:rFonts w:ascii="Arial" w:hAnsi="Arial"/>
          <w:sz w:val="20"/>
        </w:rPr>
        <w:t>Kiem</w:t>
      </w:r>
      <w:proofErr w:type="spellEnd"/>
      <w:r>
        <w:rPr>
          <w:rFonts w:ascii="Arial" w:hAnsi="Arial"/>
          <w:sz w:val="20"/>
        </w:rPr>
        <w:t>, Hanoi.</w:t>
      </w:r>
    </w:p>
    <w:p w14:paraId="2A8AEA37" w14:textId="77777777" w:rsidR="007234A9" w:rsidRDefault="001E4911" w:rsidP="004D1906">
      <w:pPr>
        <w:numPr>
          <w:ilvl w:val="0"/>
          <w:numId w:val="7"/>
        </w:numPr>
        <w:pBdr>
          <w:top w:val="nil"/>
          <w:left w:val="nil"/>
          <w:bottom w:val="nil"/>
          <w:right w:val="nil"/>
          <w:between w:val="nil"/>
        </w:pBdr>
        <w:tabs>
          <w:tab w:val="left" w:pos="947"/>
        </w:tabs>
        <w:spacing w:after="120" w:line="360" w:lineRule="auto"/>
        <w:jc w:val="both"/>
        <w:rPr>
          <w:rFonts w:ascii="Arial" w:eastAsia="Arial" w:hAnsi="Arial" w:cs="Arial"/>
          <w:sz w:val="20"/>
          <w:szCs w:val="20"/>
        </w:rPr>
      </w:pPr>
      <w:r>
        <w:rPr>
          <w:rFonts w:ascii="Arial" w:hAnsi="Arial"/>
          <w:sz w:val="20"/>
        </w:rPr>
        <w:t xml:space="preserve">Auditing and </w:t>
      </w:r>
      <w:proofErr w:type="spellStart"/>
      <w:r>
        <w:rPr>
          <w:rFonts w:ascii="Arial" w:hAnsi="Arial"/>
          <w:sz w:val="20"/>
        </w:rPr>
        <w:t>Informatic</w:t>
      </w:r>
      <w:proofErr w:type="spellEnd"/>
      <w:r>
        <w:rPr>
          <w:rFonts w:ascii="Arial" w:hAnsi="Arial"/>
          <w:sz w:val="20"/>
        </w:rPr>
        <w:t xml:space="preserve"> Services Company Limited (AISC)</w:t>
      </w:r>
    </w:p>
    <w:p w14:paraId="2E480FC8" w14:textId="77777777" w:rsidR="007234A9" w:rsidRDefault="001E4911" w:rsidP="004D1906">
      <w:pPr>
        <w:numPr>
          <w:ilvl w:val="0"/>
          <w:numId w:val="6"/>
        </w:numPr>
        <w:pBdr>
          <w:top w:val="nil"/>
          <w:left w:val="nil"/>
          <w:bottom w:val="nil"/>
          <w:right w:val="nil"/>
          <w:between w:val="nil"/>
        </w:pBdr>
        <w:tabs>
          <w:tab w:val="left" w:pos="839"/>
        </w:tabs>
        <w:spacing w:after="120" w:line="360" w:lineRule="auto"/>
        <w:jc w:val="both"/>
        <w:rPr>
          <w:rFonts w:ascii="Arial" w:eastAsia="Arial" w:hAnsi="Arial" w:cs="Arial"/>
          <w:sz w:val="20"/>
          <w:szCs w:val="20"/>
        </w:rPr>
      </w:pPr>
      <w:r>
        <w:rPr>
          <w:rFonts w:ascii="Arial" w:hAnsi="Arial"/>
          <w:sz w:val="20"/>
        </w:rPr>
        <w:t xml:space="preserve">Hanoi branch:  VIMECO Building, Pham Hung Road, </w:t>
      </w:r>
      <w:proofErr w:type="spellStart"/>
      <w:r>
        <w:rPr>
          <w:rFonts w:ascii="Arial" w:hAnsi="Arial"/>
          <w:sz w:val="20"/>
        </w:rPr>
        <w:t>Cau</w:t>
      </w:r>
      <w:proofErr w:type="spellEnd"/>
      <w:r>
        <w:rPr>
          <w:rFonts w:ascii="Arial" w:hAnsi="Arial"/>
          <w:sz w:val="20"/>
        </w:rPr>
        <w:t xml:space="preserve"> </w:t>
      </w:r>
      <w:proofErr w:type="spellStart"/>
      <w:r>
        <w:rPr>
          <w:rFonts w:ascii="Arial" w:hAnsi="Arial"/>
          <w:sz w:val="20"/>
        </w:rPr>
        <w:t>Giay</w:t>
      </w:r>
      <w:proofErr w:type="spellEnd"/>
      <w:r>
        <w:rPr>
          <w:rFonts w:ascii="Arial" w:hAnsi="Arial"/>
          <w:sz w:val="20"/>
        </w:rPr>
        <w:t>.</w:t>
      </w:r>
    </w:p>
    <w:p w14:paraId="1D92304B" w14:textId="77777777" w:rsidR="007234A9" w:rsidRDefault="001E4911" w:rsidP="004D1906">
      <w:pPr>
        <w:numPr>
          <w:ilvl w:val="0"/>
          <w:numId w:val="7"/>
        </w:numPr>
        <w:pBdr>
          <w:top w:val="nil"/>
          <w:left w:val="nil"/>
          <w:bottom w:val="nil"/>
          <w:right w:val="nil"/>
          <w:between w:val="nil"/>
        </w:pBdr>
        <w:tabs>
          <w:tab w:val="left" w:pos="947"/>
        </w:tabs>
        <w:spacing w:after="120" w:line="360" w:lineRule="auto"/>
        <w:jc w:val="both"/>
        <w:rPr>
          <w:rFonts w:ascii="Arial" w:eastAsia="Arial" w:hAnsi="Arial" w:cs="Arial"/>
          <w:sz w:val="20"/>
          <w:szCs w:val="20"/>
        </w:rPr>
      </w:pPr>
      <w:r>
        <w:rPr>
          <w:rFonts w:ascii="Arial" w:hAnsi="Arial"/>
          <w:sz w:val="20"/>
        </w:rPr>
        <w:t>A&amp;C Auditing and Consulting Company Limited</w:t>
      </w:r>
    </w:p>
    <w:p w14:paraId="0C536F69" w14:textId="77777777" w:rsidR="007234A9" w:rsidRDefault="001E4911" w:rsidP="004D1906">
      <w:pPr>
        <w:numPr>
          <w:ilvl w:val="0"/>
          <w:numId w:val="6"/>
        </w:numPr>
        <w:pBdr>
          <w:top w:val="nil"/>
          <w:left w:val="nil"/>
          <w:bottom w:val="nil"/>
          <w:right w:val="nil"/>
          <w:between w:val="nil"/>
        </w:pBdr>
        <w:tabs>
          <w:tab w:val="left" w:pos="839"/>
        </w:tabs>
        <w:spacing w:after="120" w:line="360" w:lineRule="auto"/>
        <w:jc w:val="both"/>
        <w:rPr>
          <w:rFonts w:ascii="Arial" w:eastAsia="Arial" w:hAnsi="Arial" w:cs="Arial"/>
          <w:sz w:val="20"/>
          <w:szCs w:val="20"/>
        </w:rPr>
      </w:pPr>
      <w:r>
        <w:rPr>
          <w:rFonts w:ascii="Arial" w:hAnsi="Arial"/>
          <w:sz w:val="20"/>
        </w:rPr>
        <w:t xml:space="preserve">Hanoi branch: 40 Giang Vo, Cat </w:t>
      </w:r>
      <w:proofErr w:type="spellStart"/>
      <w:r>
        <w:rPr>
          <w:rFonts w:ascii="Arial" w:hAnsi="Arial"/>
          <w:sz w:val="20"/>
        </w:rPr>
        <w:t>Linh</w:t>
      </w:r>
      <w:proofErr w:type="spellEnd"/>
      <w:r>
        <w:rPr>
          <w:rFonts w:ascii="Arial" w:hAnsi="Arial"/>
          <w:sz w:val="20"/>
        </w:rPr>
        <w:t xml:space="preserve"> Ward, Dong Da, Hanoi.</w:t>
      </w:r>
    </w:p>
    <w:p w14:paraId="77E5D187" w14:textId="77777777" w:rsidR="007234A9" w:rsidRDefault="001E4911" w:rsidP="004D1906">
      <w:pPr>
        <w:numPr>
          <w:ilvl w:val="0"/>
          <w:numId w:val="7"/>
        </w:numPr>
        <w:pBdr>
          <w:top w:val="nil"/>
          <w:left w:val="nil"/>
          <w:bottom w:val="nil"/>
          <w:right w:val="nil"/>
          <w:between w:val="nil"/>
        </w:pBdr>
        <w:tabs>
          <w:tab w:val="left" w:pos="947"/>
        </w:tabs>
        <w:spacing w:after="120" w:line="360" w:lineRule="auto"/>
        <w:jc w:val="both"/>
        <w:rPr>
          <w:rFonts w:ascii="Arial" w:eastAsia="Arial" w:hAnsi="Arial" w:cs="Arial"/>
          <w:sz w:val="20"/>
          <w:szCs w:val="20"/>
        </w:rPr>
      </w:pPr>
      <w:r>
        <w:rPr>
          <w:rFonts w:ascii="Arial" w:hAnsi="Arial"/>
          <w:sz w:val="20"/>
        </w:rPr>
        <w:t xml:space="preserve">International Auditing Company Limited </w:t>
      </w:r>
      <w:r>
        <w:rPr>
          <w:rFonts w:ascii="Arial" w:hAnsi="Arial"/>
          <w:sz w:val="20"/>
        </w:rPr>
        <w:tab/>
      </w:r>
    </w:p>
    <w:p w14:paraId="46A425B3" w14:textId="77777777" w:rsidR="007234A9" w:rsidRDefault="001E4911" w:rsidP="004D1906">
      <w:pPr>
        <w:numPr>
          <w:ilvl w:val="0"/>
          <w:numId w:val="6"/>
        </w:numPr>
        <w:pBdr>
          <w:top w:val="nil"/>
          <w:left w:val="nil"/>
          <w:bottom w:val="nil"/>
          <w:right w:val="nil"/>
          <w:between w:val="nil"/>
        </w:pBdr>
        <w:tabs>
          <w:tab w:val="left" w:pos="1001"/>
        </w:tabs>
        <w:spacing w:after="120" w:line="360" w:lineRule="auto"/>
        <w:jc w:val="both"/>
        <w:rPr>
          <w:rFonts w:ascii="Arial" w:eastAsia="Arial" w:hAnsi="Arial" w:cs="Arial"/>
          <w:sz w:val="20"/>
          <w:szCs w:val="20"/>
        </w:rPr>
      </w:pPr>
      <w:proofErr w:type="spellStart"/>
      <w:r>
        <w:rPr>
          <w:rFonts w:ascii="Arial" w:hAnsi="Arial"/>
          <w:sz w:val="20"/>
        </w:rPr>
        <w:t>Nghe</w:t>
      </w:r>
      <w:proofErr w:type="spellEnd"/>
      <w:r>
        <w:rPr>
          <w:rFonts w:ascii="Arial" w:hAnsi="Arial"/>
          <w:sz w:val="20"/>
        </w:rPr>
        <w:t xml:space="preserve"> </w:t>
      </w:r>
      <w:proofErr w:type="gramStart"/>
      <w:r>
        <w:rPr>
          <w:rFonts w:ascii="Arial" w:hAnsi="Arial"/>
          <w:sz w:val="20"/>
        </w:rPr>
        <w:t>An</w:t>
      </w:r>
      <w:proofErr w:type="gramEnd"/>
      <w:r>
        <w:rPr>
          <w:rFonts w:ascii="Arial" w:hAnsi="Arial"/>
          <w:sz w:val="20"/>
        </w:rPr>
        <w:t xml:space="preserve"> branch:  18th Floor, Petroleum </w:t>
      </w:r>
      <w:proofErr w:type="spellStart"/>
      <w:r>
        <w:rPr>
          <w:rFonts w:ascii="Arial" w:hAnsi="Arial"/>
          <w:sz w:val="20"/>
        </w:rPr>
        <w:t>Nghe</w:t>
      </w:r>
      <w:proofErr w:type="spellEnd"/>
      <w:r>
        <w:rPr>
          <w:rFonts w:ascii="Arial" w:hAnsi="Arial"/>
          <w:sz w:val="20"/>
        </w:rPr>
        <w:t xml:space="preserve"> An Building - 7 </w:t>
      </w:r>
      <w:proofErr w:type="spellStart"/>
      <w:r>
        <w:rPr>
          <w:rFonts w:ascii="Arial" w:hAnsi="Arial"/>
          <w:sz w:val="20"/>
        </w:rPr>
        <w:t>Quang</w:t>
      </w:r>
      <w:proofErr w:type="spellEnd"/>
      <w:r>
        <w:rPr>
          <w:rFonts w:ascii="Arial" w:hAnsi="Arial"/>
          <w:sz w:val="20"/>
        </w:rPr>
        <w:t xml:space="preserve"> </w:t>
      </w:r>
      <w:proofErr w:type="spellStart"/>
      <w:r>
        <w:rPr>
          <w:rFonts w:ascii="Arial" w:hAnsi="Arial"/>
          <w:sz w:val="20"/>
        </w:rPr>
        <w:t>Trung</w:t>
      </w:r>
      <w:proofErr w:type="spellEnd"/>
      <w:r>
        <w:rPr>
          <w:rFonts w:ascii="Arial" w:hAnsi="Arial"/>
          <w:sz w:val="20"/>
        </w:rPr>
        <w:t xml:space="preserve"> Street, </w:t>
      </w:r>
      <w:proofErr w:type="spellStart"/>
      <w:r>
        <w:rPr>
          <w:rFonts w:ascii="Arial" w:hAnsi="Arial"/>
          <w:sz w:val="20"/>
        </w:rPr>
        <w:t>Vinh</w:t>
      </w:r>
      <w:proofErr w:type="spellEnd"/>
      <w:r>
        <w:rPr>
          <w:rFonts w:ascii="Arial" w:hAnsi="Arial"/>
          <w:sz w:val="20"/>
        </w:rPr>
        <w:t xml:space="preserve"> City, </w:t>
      </w:r>
      <w:proofErr w:type="spellStart"/>
      <w:r>
        <w:rPr>
          <w:rFonts w:ascii="Arial" w:hAnsi="Arial"/>
          <w:sz w:val="20"/>
        </w:rPr>
        <w:t>Nghe</w:t>
      </w:r>
      <w:proofErr w:type="spellEnd"/>
      <w:r>
        <w:rPr>
          <w:rFonts w:ascii="Arial" w:hAnsi="Arial"/>
          <w:sz w:val="20"/>
        </w:rPr>
        <w:t xml:space="preserve"> An Province.</w:t>
      </w:r>
    </w:p>
    <w:p w14:paraId="22470F08"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9. Terms of enforcement</w:t>
      </w:r>
      <w:bookmarkStart w:id="1" w:name="_GoBack"/>
      <w:bookmarkEnd w:id="1"/>
    </w:p>
    <w:p w14:paraId="1B1878EE" w14:textId="77777777" w:rsidR="007234A9" w:rsidRDefault="001E4911" w:rsidP="004D1906">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The General Mandate has been approved by the General Meeting of Shareholders 2024 of Asia Mineral Joint Stock Company on April 25, 2024.  The Board of Directors, the Supervisory Board, the Manager and related units are responsible for implementing this General Mandate and organizing the implementation of the General Mandate in accordance with the Law and the Company's Charter./. </w:t>
      </w:r>
    </w:p>
    <w:p w14:paraId="14E3FFD5" w14:textId="77777777" w:rsidR="007234A9" w:rsidRDefault="007234A9" w:rsidP="004D1906">
      <w:pPr>
        <w:spacing w:after="120" w:line="360" w:lineRule="auto"/>
        <w:jc w:val="both"/>
        <w:rPr>
          <w:rFonts w:ascii="Arial" w:eastAsia="Arial" w:hAnsi="Arial" w:cs="Arial"/>
          <w:sz w:val="20"/>
          <w:szCs w:val="20"/>
        </w:rPr>
      </w:pPr>
    </w:p>
    <w:sectPr w:rsidR="007234A9">
      <w:pgSz w:w="11906" w:h="16838"/>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53A74"/>
    <w:multiLevelType w:val="multilevel"/>
    <w:tmpl w:val="58BCA39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2BE0D12"/>
    <w:multiLevelType w:val="multilevel"/>
    <w:tmpl w:val="29FC13B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2E2C56"/>
    <w:multiLevelType w:val="multilevel"/>
    <w:tmpl w:val="4050961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3572F4A"/>
    <w:multiLevelType w:val="multilevel"/>
    <w:tmpl w:val="ACF60B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B90025"/>
    <w:multiLevelType w:val="multilevel"/>
    <w:tmpl w:val="8E2A88F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4076E95"/>
    <w:multiLevelType w:val="multilevel"/>
    <w:tmpl w:val="44AA89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C325932"/>
    <w:multiLevelType w:val="multilevel"/>
    <w:tmpl w:val="5B4E172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A9"/>
    <w:rsid w:val="001626DC"/>
    <w:rsid w:val="0019497F"/>
    <w:rsid w:val="001E4911"/>
    <w:rsid w:val="002009BA"/>
    <w:rsid w:val="004D1906"/>
    <w:rsid w:val="00723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6FE2"/>
  <w15:docId w15:val="{9106C14A-0BD1-4B36-B5FA-911E07F1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34"/>
      <w:szCs w:val="34"/>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DB9CA6"/>
      <w:sz w:val="17"/>
      <w:szCs w:val="17"/>
      <w:u w:val="none"/>
    </w:rPr>
  </w:style>
  <w:style w:type="character" w:customStyle="1" w:styleId="Bodytext3">
    <w:name w:val="Body text (3)_"/>
    <w:basedOn w:val="DefaultParagraphFont"/>
    <w:link w:val="Bodytext30"/>
    <w:rPr>
      <w:rFonts w:ascii="Verdana" w:eastAsia="Verdana" w:hAnsi="Verdana" w:cs="Verdana"/>
      <w:b w:val="0"/>
      <w:bCs w:val="0"/>
      <w:i w:val="0"/>
      <w:iCs w:val="0"/>
      <w:smallCaps w:val="0"/>
      <w:strike w:val="0"/>
      <w:color w:val="DB9CA6"/>
      <w:sz w:val="18"/>
      <w:szCs w:val="18"/>
      <w:u w:val="none"/>
    </w:rPr>
  </w:style>
  <w:style w:type="paragraph" w:customStyle="1" w:styleId="Bodytext20">
    <w:name w:val="Body text (2)"/>
    <w:basedOn w:val="Normal"/>
    <w:link w:val="Bodytext2"/>
    <w:pPr>
      <w:shd w:val="clear" w:color="auto" w:fill="FFFFFF"/>
      <w:spacing w:line="214" w:lineRule="auto"/>
      <w:ind w:left="1480"/>
    </w:pPr>
    <w:rPr>
      <w:rFonts w:ascii="Arial" w:eastAsia="Arial" w:hAnsi="Arial" w:cs="Arial"/>
      <w:sz w:val="8"/>
      <w:szCs w:val="8"/>
    </w:rPr>
  </w:style>
  <w:style w:type="paragraph" w:styleId="BodyText">
    <w:name w:val="Body Text"/>
    <w:basedOn w:val="Normal"/>
    <w:link w:val="BodyTextChar"/>
    <w:qFormat/>
    <w:pPr>
      <w:shd w:val="clear" w:color="auto" w:fill="FFFFFF"/>
      <w:spacing w:line="271" w:lineRule="auto"/>
      <w:ind w:firstLine="400"/>
    </w:pPr>
    <w:rPr>
      <w:rFonts w:ascii="Times New Roman" w:eastAsia="Times New Roman" w:hAnsi="Times New Roman" w:cs="Times New Roman"/>
      <w:sz w:val="26"/>
      <w:szCs w:val="26"/>
    </w:rPr>
  </w:style>
  <w:style w:type="paragraph" w:customStyle="1" w:styleId="Heading11">
    <w:name w:val="Heading #1"/>
    <w:basedOn w:val="Normal"/>
    <w:link w:val="Heading10"/>
    <w:pPr>
      <w:shd w:val="clear" w:color="auto" w:fill="FFFFFF"/>
      <w:outlineLvl w:val="0"/>
    </w:pPr>
    <w:rPr>
      <w:rFonts w:ascii="Arial" w:eastAsia="Arial" w:hAnsi="Arial" w:cs="Arial"/>
      <w:sz w:val="34"/>
      <w:szCs w:val="34"/>
    </w:rPr>
  </w:style>
  <w:style w:type="paragraph" w:customStyle="1" w:styleId="Other0">
    <w:name w:val="Other"/>
    <w:basedOn w:val="Normal"/>
    <w:link w:val="Other"/>
    <w:pPr>
      <w:shd w:val="clear" w:color="auto" w:fill="FFFFFF"/>
      <w:spacing w:line="271"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pPr>
      <w:shd w:val="clear" w:color="auto" w:fill="FFFFFF"/>
      <w:spacing w:line="257" w:lineRule="auto"/>
      <w:ind w:firstLine="280"/>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pPr>
    <w:rPr>
      <w:rFonts w:ascii="Arial" w:eastAsia="Arial" w:hAnsi="Arial" w:cs="Arial"/>
      <w:color w:val="DB9CA6"/>
      <w:sz w:val="17"/>
      <w:szCs w:val="17"/>
    </w:rPr>
  </w:style>
  <w:style w:type="paragraph" w:customStyle="1" w:styleId="Bodytext30">
    <w:name w:val="Body text (3)"/>
    <w:basedOn w:val="Normal"/>
    <w:link w:val="Bodytext3"/>
    <w:pPr>
      <w:shd w:val="clear" w:color="auto" w:fill="FFFFFF"/>
    </w:pPr>
    <w:rPr>
      <w:rFonts w:ascii="Verdana" w:eastAsia="Verdana" w:hAnsi="Verdana" w:cs="Verdana"/>
      <w:color w:val="DB9CA6"/>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8XPlyO1pU/oHBCuilxBmGkgAA==">CgMxLjAyCGguZ2pkZ3hzOAByITFfV3Z4UV9FZlFoajlWd2YyV3ZsV0V6cnFmcnozQW94MA==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2024-05-07T10:16:00Z</dcterms:created>
  <dcterms:modified xsi:type="dcterms:W3CDTF">2024-05-09T03:49:00Z</dcterms:modified>
</cp:coreProperties>
</file>