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6B2B" w14:textId="77777777" w:rsidR="000A5BEF" w:rsidRDefault="000A5BEF" w:rsidP="000A5BEF">
      <w:pPr>
        <w:pStyle w:val="BodyText"/>
        <w:tabs>
          <w:tab w:val="left" w:pos="432"/>
        </w:tabs>
        <w:spacing w:after="120" w:line="360" w:lineRule="auto"/>
        <w:ind w:firstLine="0"/>
        <w:rPr>
          <w:rFonts w:ascii="Arial" w:hAnsi="Arial" w:cs="Arial"/>
          <w:b/>
          <w:iCs/>
          <w:color w:val="010000"/>
          <w:sz w:val="20"/>
        </w:rPr>
      </w:pPr>
      <w:r>
        <w:rPr>
          <w:rFonts w:ascii="Arial" w:hAnsi="Arial"/>
          <w:b/>
          <w:color w:val="010000"/>
          <w:sz w:val="20"/>
        </w:rPr>
        <w:t>AVC: Annual General Mandate 2024</w:t>
      </w:r>
    </w:p>
    <w:p w14:paraId="1DF43673" w14:textId="77777777" w:rsidR="009F0ACB" w:rsidRPr="000A5BEF" w:rsidRDefault="000A5BEF" w:rsidP="000A5BEF">
      <w:pPr>
        <w:pStyle w:val="BodyText"/>
        <w:tabs>
          <w:tab w:val="left" w:pos="432"/>
        </w:tabs>
        <w:spacing w:after="120" w:line="360" w:lineRule="auto"/>
        <w:ind w:firstLine="0"/>
        <w:rPr>
          <w:rFonts w:ascii="Arial" w:hAnsi="Arial" w:cs="Arial"/>
          <w:color w:val="010000"/>
          <w:sz w:val="20"/>
        </w:rPr>
      </w:pPr>
      <w:r>
        <w:rPr>
          <w:rFonts w:ascii="Arial" w:hAnsi="Arial"/>
          <w:color w:val="010000"/>
          <w:sz w:val="20"/>
        </w:rPr>
        <w:t>On May 3, 2024, A Vuong Hydropower Joint Stock Company announced General Mandate No. 877/NQ-DHDCD as follows:</w:t>
      </w:r>
    </w:p>
    <w:p w14:paraId="3CD9ADD9" w14:textId="77777777" w:rsidR="009F0ACB" w:rsidRPr="000A5BEF" w:rsidRDefault="00682EF8" w:rsidP="000A5BEF">
      <w:pPr>
        <w:pStyle w:val="BodyText"/>
        <w:tabs>
          <w:tab w:val="left" w:pos="432"/>
        </w:tabs>
        <w:spacing w:after="120" w:line="360" w:lineRule="auto"/>
        <w:ind w:firstLine="0"/>
        <w:rPr>
          <w:rFonts w:ascii="Arial" w:hAnsi="Arial" w:cs="Arial"/>
          <w:color w:val="010000"/>
          <w:sz w:val="20"/>
        </w:rPr>
      </w:pPr>
      <w:r>
        <w:rPr>
          <w:rFonts w:ascii="Arial" w:hAnsi="Arial"/>
          <w:color w:val="010000"/>
          <w:sz w:val="20"/>
        </w:rPr>
        <w:t>‎‎Article 1. The Annual General Meeting of Shareholders 2024 approves the following contents:</w:t>
      </w:r>
    </w:p>
    <w:p w14:paraId="05EF3008" w14:textId="77777777" w:rsidR="009F0ACB" w:rsidRPr="000A5BEF" w:rsidRDefault="00682EF8" w:rsidP="000A5BEF">
      <w:pPr>
        <w:pStyle w:val="BodyText"/>
        <w:numPr>
          <w:ilvl w:val="0"/>
          <w:numId w:val="1"/>
        </w:numPr>
        <w:tabs>
          <w:tab w:val="left" w:pos="432"/>
          <w:tab w:val="left" w:pos="944"/>
        </w:tabs>
        <w:spacing w:after="120" w:line="360" w:lineRule="auto"/>
        <w:ind w:firstLine="0"/>
        <w:rPr>
          <w:rFonts w:ascii="Arial" w:hAnsi="Arial" w:cs="Arial"/>
          <w:color w:val="010000"/>
          <w:sz w:val="20"/>
        </w:rPr>
      </w:pPr>
      <w:r>
        <w:rPr>
          <w:rFonts w:ascii="Arial" w:hAnsi="Arial"/>
          <w:color w:val="010000"/>
          <w:sz w:val="20"/>
        </w:rPr>
        <w:t xml:space="preserve">Content 1: Results of Production, Business, and Construction Investment 2023 with the following main figures:  </w:t>
      </w:r>
    </w:p>
    <w:p w14:paraId="44126059" w14:textId="77777777" w:rsidR="009F0ACB" w:rsidRPr="000A5BEF" w:rsidRDefault="00682EF8" w:rsidP="000A5BEF">
      <w:pPr>
        <w:pStyle w:val="BodyText"/>
        <w:numPr>
          <w:ilvl w:val="0"/>
          <w:numId w:val="2"/>
        </w:numPr>
        <w:tabs>
          <w:tab w:val="left" w:pos="432"/>
          <w:tab w:val="left" w:pos="852"/>
          <w:tab w:val="left" w:pos="4271"/>
          <w:tab w:val="right" w:pos="5548"/>
          <w:tab w:val="left" w:pos="5753"/>
        </w:tabs>
        <w:spacing w:after="120" w:line="360" w:lineRule="auto"/>
        <w:ind w:firstLine="0"/>
        <w:rPr>
          <w:rFonts w:ascii="Arial" w:hAnsi="Arial" w:cs="Arial"/>
          <w:color w:val="010000"/>
          <w:sz w:val="20"/>
        </w:rPr>
      </w:pPr>
      <w:r>
        <w:rPr>
          <w:rFonts w:ascii="Arial" w:hAnsi="Arial"/>
          <w:color w:val="010000"/>
          <w:sz w:val="20"/>
        </w:rPr>
        <w:t>Total revenue: VND 733.523 billion.</w:t>
      </w:r>
    </w:p>
    <w:p w14:paraId="10070E14" w14:textId="77777777" w:rsidR="009F0ACB" w:rsidRPr="000A5BEF" w:rsidRDefault="00682EF8" w:rsidP="000A5BEF">
      <w:pPr>
        <w:pStyle w:val="BodyText"/>
        <w:numPr>
          <w:ilvl w:val="0"/>
          <w:numId w:val="2"/>
        </w:numPr>
        <w:tabs>
          <w:tab w:val="left" w:pos="432"/>
          <w:tab w:val="left" w:pos="852"/>
          <w:tab w:val="left" w:pos="4271"/>
          <w:tab w:val="right" w:pos="5548"/>
          <w:tab w:val="left" w:pos="5753"/>
        </w:tabs>
        <w:spacing w:after="120" w:line="360" w:lineRule="auto"/>
        <w:ind w:firstLine="0"/>
        <w:rPr>
          <w:rFonts w:ascii="Arial" w:hAnsi="Arial" w:cs="Arial"/>
          <w:color w:val="010000"/>
          <w:sz w:val="20"/>
        </w:rPr>
      </w:pPr>
      <w:r>
        <w:rPr>
          <w:rFonts w:ascii="Arial" w:hAnsi="Arial"/>
          <w:color w:val="010000"/>
          <w:sz w:val="20"/>
        </w:rPr>
        <w:t>Total expense: VND 347.581 billion.</w:t>
      </w:r>
    </w:p>
    <w:p w14:paraId="79B3BD46" w14:textId="77777777" w:rsidR="009F0ACB" w:rsidRPr="000A5BEF" w:rsidRDefault="00682EF8" w:rsidP="000A5BEF">
      <w:pPr>
        <w:pStyle w:val="BodyText"/>
        <w:numPr>
          <w:ilvl w:val="0"/>
          <w:numId w:val="2"/>
        </w:numPr>
        <w:tabs>
          <w:tab w:val="left" w:pos="432"/>
          <w:tab w:val="left" w:pos="852"/>
          <w:tab w:val="left" w:pos="3314"/>
          <w:tab w:val="left" w:pos="4271"/>
          <w:tab w:val="right" w:pos="5548"/>
          <w:tab w:val="left" w:pos="5753"/>
        </w:tabs>
        <w:spacing w:after="120" w:line="360" w:lineRule="auto"/>
        <w:ind w:firstLine="0"/>
        <w:rPr>
          <w:rFonts w:ascii="Arial" w:hAnsi="Arial" w:cs="Arial"/>
          <w:color w:val="010000"/>
          <w:sz w:val="20"/>
        </w:rPr>
      </w:pPr>
      <w:r>
        <w:rPr>
          <w:rFonts w:ascii="Arial" w:hAnsi="Arial"/>
          <w:color w:val="010000"/>
          <w:sz w:val="20"/>
        </w:rPr>
        <w:t>Total profit before tax: VND 385.942 billion.</w:t>
      </w:r>
    </w:p>
    <w:p w14:paraId="7F71267B" w14:textId="77777777" w:rsidR="009F0ACB" w:rsidRPr="000A5BEF" w:rsidRDefault="00682EF8" w:rsidP="000A5BEF">
      <w:pPr>
        <w:pStyle w:val="BodyText"/>
        <w:numPr>
          <w:ilvl w:val="0"/>
          <w:numId w:val="1"/>
        </w:numPr>
        <w:tabs>
          <w:tab w:val="left" w:pos="432"/>
          <w:tab w:val="left" w:pos="958"/>
        </w:tabs>
        <w:spacing w:after="120" w:line="360" w:lineRule="auto"/>
        <w:ind w:firstLine="0"/>
        <w:rPr>
          <w:rFonts w:ascii="Arial" w:hAnsi="Arial" w:cs="Arial"/>
          <w:color w:val="010000"/>
          <w:sz w:val="20"/>
        </w:rPr>
      </w:pPr>
      <w:r>
        <w:rPr>
          <w:rFonts w:ascii="Arial" w:hAnsi="Arial"/>
          <w:color w:val="010000"/>
          <w:sz w:val="20"/>
        </w:rPr>
        <w:t>Content 2: Production, Business and Construction Investment Plan 2024 with the following main contents:</w:t>
      </w:r>
    </w:p>
    <w:p w14:paraId="32DE26DC" w14:textId="77777777" w:rsidR="009F0ACB" w:rsidRPr="000A5BEF" w:rsidRDefault="00682EF8" w:rsidP="000A5BEF">
      <w:pPr>
        <w:pStyle w:val="BodyText"/>
        <w:numPr>
          <w:ilvl w:val="0"/>
          <w:numId w:val="3"/>
        </w:numPr>
        <w:tabs>
          <w:tab w:val="left" w:pos="432"/>
          <w:tab w:val="left" w:pos="962"/>
        </w:tabs>
        <w:spacing w:after="120" w:line="360" w:lineRule="auto"/>
        <w:ind w:firstLine="0"/>
        <w:rPr>
          <w:rFonts w:ascii="Arial" w:hAnsi="Arial" w:cs="Arial"/>
          <w:color w:val="010000"/>
          <w:sz w:val="20"/>
        </w:rPr>
      </w:pPr>
      <w:r>
        <w:rPr>
          <w:rFonts w:ascii="Arial" w:hAnsi="Arial"/>
          <w:color w:val="010000"/>
          <w:sz w:val="20"/>
        </w:rPr>
        <w:t>Targets for Business and Production Plan 2024</w:t>
      </w:r>
    </w:p>
    <w:p w14:paraId="0F85883D" w14:textId="77777777" w:rsidR="009F0ACB" w:rsidRPr="000A5BEF" w:rsidRDefault="00682EF8" w:rsidP="000A5BEF">
      <w:pPr>
        <w:pStyle w:val="BodyText"/>
        <w:numPr>
          <w:ilvl w:val="0"/>
          <w:numId w:val="2"/>
        </w:numPr>
        <w:tabs>
          <w:tab w:val="left" w:pos="432"/>
          <w:tab w:val="left" w:pos="1012"/>
        </w:tabs>
        <w:spacing w:after="120" w:line="360" w:lineRule="auto"/>
        <w:ind w:firstLine="0"/>
        <w:rPr>
          <w:rFonts w:ascii="Arial" w:hAnsi="Arial" w:cs="Arial"/>
          <w:color w:val="010000"/>
          <w:sz w:val="20"/>
        </w:rPr>
      </w:pPr>
      <w:r>
        <w:rPr>
          <w:rFonts w:ascii="Arial" w:hAnsi="Arial"/>
          <w:color w:val="010000"/>
          <w:sz w:val="20"/>
        </w:rPr>
        <w:t>Total revenue: VND 480.365 billion.</w:t>
      </w:r>
    </w:p>
    <w:p w14:paraId="10C83620" w14:textId="77777777" w:rsidR="009F0ACB" w:rsidRPr="000A5BEF" w:rsidRDefault="00682EF8" w:rsidP="000A5BEF">
      <w:pPr>
        <w:pStyle w:val="BodyText"/>
        <w:numPr>
          <w:ilvl w:val="0"/>
          <w:numId w:val="2"/>
        </w:numPr>
        <w:tabs>
          <w:tab w:val="left" w:pos="432"/>
          <w:tab w:val="left" w:pos="1012"/>
        </w:tabs>
        <w:spacing w:after="120" w:line="360" w:lineRule="auto"/>
        <w:ind w:firstLine="0"/>
        <w:rPr>
          <w:rFonts w:ascii="Arial" w:hAnsi="Arial" w:cs="Arial"/>
          <w:color w:val="010000"/>
          <w:sz w:val="20"/>
        </w:rPr>
      </w:pPr>
      <w:r>
        <w:rPr>
          <w:rFonts w:ascii="Arial" w:hAnsi="Arial"/>
          <w:color w:val="010000"/>
          <w:sz w:val="20"/>
        </w:rPr>
        <w:t>Total expense: VND 362.808 billion;</w:t>
      </w:r>
    </w:p>
    <w:p w14:paraId="6BD1124F" w14:textId="77777777" w:rsidR="009F0ACB" w:rsidRPr="000A5BEF" w:rsidRDefault="00682EF8" w:rsidP="000A5BEF">
      <w:pPr>
        <w:pStyle w:val="BodyText"/>
        <w:numPr>
          <w:ilvl w:val="0"/>
          <w:numId w:val="2"/>
        </w:numPr>
        <w:tabs>
          <w:tab w:val="left" w:pos="432"/>
          <w:tab w:val="left" w:pos="1012"/>
        </w:tabs>
        <w:spacing w:after="120" w:line="360" w:lineRule="auto"/>
        <w:ind w:firstLine="0"/>
        <w:rPr>
          <w:rFonts w:ascii="Arial" w:hAnsi="Arial" w:cs="Arial"/>
          <w:color w:val="010000"/>
          <w:sz w:val="20"/>
        </w:rPr>
      </w:pPr>
      <w:r>
        <w:rPr>
          <w:rFonts w:ascii="Arial" w:hAnsi="Arial"/>
          <w:color w:val="010000"/>
          <w:sz w:val="20"/>
        </w:rPr>
        <w:t>Profit before tax: VND 117.557 billion</w:t>
      </w:r>
    </w:p>
    <w:p w14:paraId="4EB852BD" w14:textId="77777777" w:rsidR="009F0ACB" w:rsidRPr="000A5BEF" w:rsidRDefault="00682EF8" w:rsidP="000A5BEF">
      <w:pPr>
        <w:pStyle w:val="BodyText"/>
        <w:numPr>
          <w:ilvl w:val="0"/>
          <w:numId w:val="2"/>
        </w:numPr>
        <w:tabs>
          <w:tab w:val="left" w:pos="432"/>
          <w:tab w:val="left" w:pos="1012"/>
        </w:tabs>
        <w:spacing w:after="120" w:line="360" w:lineRule="auto"/>
        <w:ind w:firstLine="0"/>
        <w:rPr>
          <w:rFonts w:ascii="Arial" w:hAnsi="Arial" w:cs="Arial"/>
          <w:color w:val="010000"/>
          <w:sz w:val="20"/>
        </w:rPr>
      </w:pPr>
      <w:r>
        <w:rPr>
          <w:rFonts w:ascii="Arial" w:hAnsi="Arial"/>
          <w:color w:val="010000"/>
          <w:sz w:val="20"/>
        </w:rPr>
        <w:t>Dividend rate: 10%</w:t>
      </w:r>
    </w:p>
    <w:p w14:paraId="104B082F" w14:textId="77777777" w:rsidR="009F0ACB" w:rsidRPr="000A5BEF" w:rsidRDefault="00682EF8" w:rsidP="000A5BEF">
      <w:pPr>
        <w:pStyle w:val="BodyText"/>
        <w:numPr>
          <w:ilvl w:val="0"/>
          <w:numId w:val="3"/>
        </w:numPr>
        <w:tabs>
          <w:tab w:val="left" w:pos="432"/>
          <w:tab w:val="left" w:pos="968"/>
        </w:tabs>
        <w:spacing w:after="120" w:line="360" w:lineRule="auto"/>
        <w:ind w:firstLine="0"/>
        <w:rPr>
          <w:rFonts w:ascii="Arial" w:hAnsi="Arial" w:cs="Arial"/>
          <w:color w:val="010000"/>
          <w:sz w:val="20"/>
        </w:rPr>
      </w:pPr>
      <w:r>
        <w:rPr>
          <w:rFonts w:ascii="Arial" w:hAnsi="Arial"/>
          <w:color w:val="010000"/>
          <w:sz w:val="20"/>
        </w:rPr>
        <w:t>Assign the Board of Directors of the Company to execute and decide on issues and contents arising outside the Production and Business Plan approved by the General Meeting of Shareholders 2024 or urgent issues and contents that need to be executed first. When the Annual General Meeting of Shareholders approving the production and business plan 2025 is held and must report to the General Meeting of Shareholders at the nearest meeting.</w:t>
      </w:r>
    </w:p>
    <w:p w14:paraId="2985BFA7" w14:textId="77777777" w:rsidR="009F0ACB" w:rsidRPr="000A5BEF" w:rsidRDefault="00682EF8" w:rsidP="000A5BEF">
      <w:pPr>
        <w:pStyle w:val="BodyText"/>
        <w:numPr>
          <w:ilvl w:val="0"/>
          <w:numId w:val="1"/>
        </w:numPr>
        <w:tabs>
          <w:tab w:val="left" w:pos="432"/>
          <w:tab w:val="left" w:pos="954"/>
        </w:tabs>
        <w:spacing w:after="120" w:line="360" w:lineRule="auto"/>
        <w:ind w:firstLine="0"/>
        <w:rPr>
          <w:rFonts w:ascii="Arial" w:hAnsi="Arial" w:cs="Arial"/>
          <w:color w:val="010000"/>
          <w:sz w:val="20"/>
        </w:rPr>
      </w:pPr>
      <w:r>
        <w:rPr>
          <w:rFonts w:ascii="Arial" w:hAnsi="Arial"/>
          <w:color w:val="010000"/>
          <w:sz w:val="20"/>
        </w:rPr>
        <w:t>Content 3: Approve the Audited Financial Statements 2023 of A Vuong Hydropower Joint Stock Company.</w:t>
      </w:r>
    </w:p>
    <w:p w14:paraId="0B163593" w14:textId="77777777" w:rsidR="009F0ACB" w:rsidRPr="000A5BEF" w:rsidRDefault="00682EF8" w:rsidP="000A5BEF">
      <w:pPr>
        <w:pStyle w:val="BodyText"/>
        <w:numPr>
          <w:ilvl w:val="0"/>
          <w:numId w:val="1"/>
        </w:numPr>
        <w:tabs>
          <w:tab w:val="left" w:pos="432"/>
          <w:tab w:val="left" w:pos="958"/>
        </w:tabs>
        <w:spacing w:after="120" w:line="360" w:lineRule="auto"/>
        <w:ind w:firstLine="0"/>
        <w:rPr>
          <w:rFonts w:ascii="Arial" w:hAnsi="Arial" w:cs="Arial"/>
          <w:color w:val="010000"/>
          <w:sz w:val="20"/>
        </w:rPr>
      </w:pPr>
      <w:r>
        <w:rPr>
          <w:rFonts w:ascii="Arial" w:hAnsi="Arial"/>
          <w:color w:val="010000"/>
          <w:sz w:val="20"/>
        </w:rPr>
        <w:t>Content 4: Approve the Report on the activities of the Board of Directors at the General Meeting of Shareholders 2024.</w:t>
      </w:r>
    </w:p>
    <w:p w14:paraId="6E11FBF3" w14:textId="77777777" w:rsidR="009F0ACB" w:rsidRPr="000A5BEF" w:rsidRDefault="00682EF8" w:rsidP="000A5BEF">
      <w:pPr>
        <w:pStyle w:val="BodyText"/>
        <w:numPr>
          <w:ilvl w:val="0"/>
          <w:numId w:val="1"/>
        </w:numPr>
        <w:tabs>
          <w:tab w:val="left" w:pos="432"/>
          <w:tab w:val="left" w:pos="958"/>
        </w:tabs>
        <w:spacing w:after="120" w:line="360" w:lineRule="auto"/>
        <w:ind w:firstLine="0"/>
        <w:rPr>
          <w:rFonts w:ascii="Arial" w:hAnsi="Arial" w:cs="Arial"/>
          <w:color w:val="010000"/>
          <w:sz w:val="20"/>
        </w:rPr>
      </w:pPr>
      <w:r>
        <w:rPr>
          <w:rFonts w:ascii="Arial" w:hAnsi="Arial"/>
          <w:color w:val="010000"/>
          <w:sz w:val="20"/>
        </w:rPr>
        <w:t>Content 5: Approve the report on the activities of the Supervisory Board 2023 and the Direction 2024</w:t>
      </w:r>
    </w:p>
    <w:p w14:paraId="42FB9848" w14:textId="77777777" w:rsidR="009F0ACB" w:rsidRPr="000A5BEF" w:rsidRDefault="00682EF8" w:rsidP="000A5BEF">
      <w:pPr>
        <w:pStyle w:val="BodyText"/>
        <w:numPr>
          <w:ilvl w:val="0"/>
          <w:numId w:val="1"/>
        </w:numPr>
        <w:tabs>
          <w:tab w:val="left" w:pos="432"/>
          <w:tab w:val="left" w:pos="963"/>
        </w:tabs>
        <w:spacing w:after="120" w:line="360" w:lineRule="auto"/>
        <w:ind w:firstLine="0"/>
        <w:rPr>
          <w:rFonts w:ascii="Arial" w:hAnsi="Arial" w:cs="Arial"/>
          <w:color w:val="010000"/>
          <w:sz w:val="20"/>
        </w:rPr>
      </w:pPr>
      <w:r>
        <w:rPr>
          <w:rFonts w:ascii="Arial" w:hAnsi="Arial"/>
          <w:color w:val="010000"/>
          <w:sz w:val="20"/>
        </w:rPr>
        <w:t>Content 6: Select an audit unit for the Financial Statements 2024.</w:t>
      </w:r>
    </w:p>
    <w:p w14:paraId="490DD780" w14:textId="77777777" w:rsidR="009F0ACB" w:rsidRPr="000A5BEF" w:rsidRDefault="00682EF8" w:rsidP="000A5BEF">
      <w:pPr>
        <w:pStyle w:val="BodyText"/>
        <w:numPr>
          <w:ilvl w:val="0"/>
          <w:numId w:val="1"/>
        </w:numPr>
        <w:tabs>
          <w:tab w:val="left" w:pos="432"/>
          <w:tab w:val="left" w:pos="958"/>
        </w:tabs>
        <w:spacing w:after="120" w:line="360" w:lineRule="auto"/>
        <w:ind w:firstLine="0"/>
        <w:rPr>
          <w:rFonts w:ascii="Arial" w:hAnsi="Arial" w:cs="Arial"/>
          <w:color w:val="010000"/>
          <w:sz w:val="20"/>
        </w:rPr>
      </w:pPr>
      <w:r>
        <w:rPr>
          <w:rFonts w:ascii="Arial" w:hAnsi="Arial"/>
          <w:color w:val="010000"/>
          <w:sz w:val="20"/>
        </w:rPr>
        <w:t>Content 7: Approve of the profit distribution and dividend payment 2023 with the following main contents:</w:t>
      </w:r>
    </w:p>
    <w:p w14:paraId="33111F12" w14:textId="77777777" w:rsidR="009F0ACB" w:rsidRPr="000A5BEF" w:rsidRDefault="00682EF8" w:rsidP="000A5BEF">
      <w:pPr>
        <w:pStyle w:val="BodyText"/>
        <w:numPr>
          <w:ilvl w:val="0"/>
          <w:numId w:val="2"/>
        </w:numPr>
        <w:tabs>
          <w:tab w:val="left" w:pos="432"/>
          <w:tab w:val="left" w:pos="852"/>
          <w:tab w:val="left" w:pos="5342"/>
        </w:tabs>
        <w:spacing w:after="120" w:line="360" w:lineRule="auto"/>
        <w:ind w:firstLine="0"/>
        <w:rPr>
          <w:rFonts w:ascii="Arial" w:hAnsi="Arial" w:cs="Arial"/>
          <w:color w:val="010000"/>
          <w:sz w:val="20"/>
        </w:rPr>
      </w:pPr>
      <w:r>
        <w:rPr>
          <w:rFonts w:ascii="Arial" w:hAnsi="Arial"/>
          <w:color w:val="010000"/>
          <w:sz w:val="20"/>
        </w:rPr>
        <w:t>Distributed profits 2023: VND 1,078,937,066,041.</w:t>
      </w:r>
    </w:p>
    <w:p w14:paraId="32E1B9A6" w14:textId="77777777" w:rsidR="009F0ACB" w:rsidRPr="000A5BEF" w:rsidRDefault="00682EF8" w:rsidP="000A5BEF">
      <w:pPr>
        <w:pStyle w:val="BodyText"/>
        <w:numPr>
          <w:ilvl w:val="0"/>
          <w:numId w:val="2"/>
        </w:numPr>
        <w:tabs>
          <w:tab w:val="left" w:pos="432"/>
          <w:tab w:val="left" w:pos="852"/>
          <w:tab w:val="left" w:pos="1548"/>
          <w:tab w:val="right" w:pos="7556"/>
          <w:tab w:val="left" w:pos="7769"/>
        </w:tabs>
        <w:spacing w:after="120" w:line="360" w:lineRule="auto"/>
        <w:ind w:firstLine="0"/>
        <w:rPr>
          <w:rFonts w:ascii="Arial" w:hAnsi="Arial" w:cs="Arial"/>
          <w:color w:val="010000"/>
          <w:sz w:val="20"/>
        </w:rPr>
      </w:pPr>
      <w:r>
        <w:rPr>
          <w:rFonts w:ascii="Arial" w:hAnsi="Arial"/>
          <w:color w:val="010000"/>
          <w:sz w:val="20"/>
        </w:rPr>
        <w:t>Appropriate for Investment and Development fund: VND 46,499,630,358.</w:t>
      </w:r>
    </w:p>
    <w:p w14:paraId="189BF36B" w14:textId="77777777" w:rsidR="009F0ACB" w:rsidRPr="000A5BEF" w:rsidRDefault="00682EF8" w:rsidP="000A5BEF">
      <w:pPr>
        <w:pStyle w:val="BodyText"/>
        <w:numPr>
          <w:ilvl w:val="0"/>
          <w:numId w:val="2"/>
        </w:numPr>
        <w:tabs>
          <w:tab w:val="left" w:pos="432"/>
          <w:tab w:val="left" w:pos="852"/>
          <w:tab w:val="left" w:pos="1548"/>
          <w:tab w:val="center" w:pos="4452"/>
          <w:tab w:val="right" w:pos="7556"/>
          <w:tab w:val="left" w:pos="7769"/>
        </w:tabs>
        <w:spacing w:after="120" w:line="360" w:lineRule="auto"/>
        <w:ind w:firstLine="0"/>
        <w:rPr>
          <w:rFonts w:ascii="Arial" w:hAnsi="Arial" w:cs="Arial"/>
          <w:color w:val="010000"/>
          <w:sz w:val="20"/>
        </w:rPr>
      </w:pPr>
      <w:r>
        <w:rPr>
          <w:rFonts w:ascii="Arial" w:hAnsi="Arial"/>
          <w:color w:val="010000"/>
          <w:sz w:val="20"/>
        </w:rPr>
        <w:t>Appropriate for Bonus and Welfare fund: VND 14,735,558,500.</w:t>
      </w:r>
    </w:p>
    <w:p w14:paraId="31D608BE" w14:textId="77777777" w:rsidR="009F0ACB" w:rsidRPr="000A5BEF" w:rsidRDefault="00682EF8" w:rsidP="000A5BEF">
      <w:pPr>
        <w:pStyle w:val="BodyText"/>
        <w:numPr>
          <w:ilvl w:val="0"/>
          <w:numId w:val="2"/>
        </w:numPr>
        <w:tabs>
          <w:tab w:val="left" w:pos="432"/>
          <w:tab w:val="left" w:pos="852"/>
          <w:tab w:val="left" w:pos="1548"/>
          <w:tab w:val="right" w:pos="7556"/>
          <w:tab w:val="left" w:pos="7769"/>
        </w:tabs>
        <w:spacing w:after="120" w:line="360" w:lineRule="auto"/>
        <w:ind w:firstLine="0"/>
        <w:rPr>
          <w:rFonts w:ascii="Arial" w:hAnsi="Arial" w:cs="Arial"/>
          <w:color w:val="010000"/>
          <w:sz w:val="20"/>
        </w:rPr>
      </w:pPr>
      <w:r>
        <w:rPr>
          <w:rFonts w:ascii="Arial" w:hAnsi="Arial"/>
          <w:color w:val="010000"/>
          <w:sz w:val="20"/>
        </w:rPr>
        <w:lastRenderedPageBreak/>
        <w:t>Appropriate for Bonus fund of managers: VND 446,364,375.</w:t>
      </w:r>
    </w:p>
    <w:p w14:paraId="7B1A35B0" w14:textId="77777777" w:rsidR="009F0ACB" w:rsidRPr="000A5BEF" w:rsidRDefault="00682EF8" w:rsidP="000A5BEF">
      <w:pPr>
        <w:pStyle w:val="BodyText"/>
        <w:numPr>
          <w:ilvl w:val="0"/>
          <w:numId w:val="2"/>
        </w:numPr>
        <w:tabs>
          <w:tab w:val="left" w:pos="432"/>
          <w:tab w:val="left" w:pos="852"/>
          <w:tab w:val="right" w:pos="7556"/>
          <w:tab w:val="left" w:pos="7735"/>
        </w:tabs>
        <w:spacing w:after="120" w:line="360" w:lineRule="auto"/>
        <w:ind w:firstLine="0"/>
        <w:rPr>
          <w:rFonts w:ascii="Arial" w:hAnsi="Arial" w:cs="Arial"/>
          <w:color w:val="010000"/>
          <w:sz w:val="20"/>
        </w:rPr>
      </w:pPr>
      <w:r>
        <w:rPr>
          <w:rFonts w:ascii="Arial" w:hAnsi="Arial"/>
          <w:color w:val="010000"/>
          <w:sz w:val="20"/>
        </w:rPr>
        <w:t>Dividend payment in cash: VND 1,017,255,512,808.</w:t>
      </w:r>
    </w:p>
    <w:p w14:paraId="378AAAE2" w14:textId="77777777" w:rsidR="009F0ACB" w:rsidRPr="000A5BEF" w:rsidRDefault="00682EF8" w:rsidP="000A5BEF">
      <w:pPr>
        <w:pStyle w:val="BodyText"/>
        <w:tabs>
          <w:tab w:val="left" w:pos="432"/>
        </w:tabs>
        <w:spacing w:after="120" w:line="360" w:lineRule="auto"/>
        <w:ind w:firstLine="0"/>
        <w:rPr>
          <w:rFonts w:ascii="Arial" w:hAnsi="Arial" w:cs="Arial"/>
          <w:color w:val="010000"/>
          <w:sz w:val="20"/>
        </w:rPr>
      </w:pPr>
      <w:r>
        <w:rPr>
          <w:rFonts w:ascii="Arial" w:hAnsi="Arial"/>
          <w:color w:val="010000"/>
          <w:sz w:val="20"/>
        </w:rPr>
        <w:t>(Equivalent to: 135.54%, of which 118.54% is prepayment and the remaining payment is 17%)</w:t>
      </w:r>
    </w:p>
    <w:p w14:paraId="5DCA6303" w14:textId="77777777" w:rsidR="009F0ACB" w:rsidRPr="000A5BEF" w:rsidRDefault="00682EF8" w:rsidP="000A5BEF">
      <w:pPr>
        <w:pStyle w:val="BodyText"/>
        <w:numPr>
          <w:ilvl w:val="0"/>
          <w:numId w:val="2"/>
        </w:numPr>
        <w:tabs>
          <w:tab w:val="left" w:pos="432"/>
          <w:tab w:val="left" w:pos="852"/>
          <w:tab w:val="left" w:pos="7324"/>
        </w:tabs>
        <w:spacing w:after="120" w:line="360" w:lineRule="auto"/>
        <w:ind w:firstLine="0"/>
        <w:rPr>
          <w:rFonts w:ascii="Arial" w:hAnsi="Arial" w:cs="Arial"/>
          <w:color w:val="010000"/>
          <w:sz w:val="20"/>
        </w:rPr>
      </w:pPr>
      <w:r>
        <w:rPr>
          <w:rFonts w:ascii="Arial" w:hAnsi="Arial"/>
          <w:color w:val="010000"/>
          <w:sz w:val="20"/>
        </w:rPr>
        <w:t>Retained profit 2023: VND 0.</w:t>
      </w:r>
    </w:p>
    <w:p w14:paraId="38454BCC" w14:textId="77777777" w:rsidR="009F0ACB" w:rsidRPr="000A5BEF" w:rsidRDefault="00682EF8" w:rsidP="000A5BEF">
      <w:pPr>
        <w:pStyle w:val="BodyText"/>
        <w:numPr>
          <w:ilvl w:val="0"/>
          <w:numId w:val="1"/>
        </w:numPr>
        <w:tabs>
          <w:tab w:val="left" w:pos="432"/>
          <w:tab w:val="left" w:pos="963"/>
        </w:tabs>
        <w:spacing w:after="120" w:line="360" w:lineRule="auto"/>
        <w:ind w:firstLine="0"/>
        <w:rPr>
          <w:rFonts w:ascii="Arial" w:hAnsi="Arial" w:cs="Arial"/>
          <w:color w:val="010000"/>
          <w:sz w:val="20"/>
        </w:rPr>
      </w:pPr>
      <w:r>
        <w:rPr>
          <w:rFonts w:ascii="Arial" w:hAnsi="Arial"/>
          <w:color w:val="010000"/>
          <w:sz w:val="20"/>
        </w:rPr>
        <w:t>Content 8: Approve the salaries and remunerations of the Board of Directors and the Supervisory Board with the following main contents:</w:t>
      </w:r>
    </w:p>
    <w:p w14:paraId="5579A58D" w14:textId="77777777" w:rsidR="009F0ACB" w:rsidRPr="000A5BEF" w:rsidRDefault="00682EF8" w:rsidP="000A5BEF">
      <w:pPr>
        <w:pStyle w:val="BodyText"/>
        <w:numPr>
          <w:ilvl w:val="0"/>
          <w:numId w:val="2"/>
        </w:numPr>
        <w:tabs>
          <w:tab w:val="left" w:pos="432"/>
          <w:tab w:val="left" w:pos="1012"/>
        </w:tabs>
        <w:spacing w:after="120" w:line="360" w:lineRule="auto"/>
        <w:ind w:firstLine="0"/>
        <w:rPr>
          <w:rFonts w:ascii="Arial" w:hAnsi="Arial" w:cs="Arial"/>
          <w:color w:val="010000"/>
          <w:sz w:val="20"/>
        </w:rPr>
      </w:pPr>
      <w:r>
        <w:rPr>
          <w:rFonts w:ascii="Arial" w:hAnsi="Arial"/>
          <w:color w:val="010000"/>
          <w:sz w:val="20"/>
        </w:rPr>
        <w:t>Salary and remuneration of the Board of Directors and the Supervisory Board 2023 is VND 2,047,035,000.</w:t>
      </w:r>
    </w:p>
    <w:p w14:paraId="36D10743" w14:textId="77777777" w:rsidR="009F0ACB" w:rsidRPr="000A5BEF" w:rsidRDefault="00682EF8" w:rsidP="000A5BEF">
      <w:pPr>
        <w:pStyle w:val="BodyText"/>
        <w:numPr>
          <w:ilvl w:val="0"/>
          <w:numId w:val="2"/>
        </w:numPr>
        <w:tabs>
          <w:tab w:val="left" w:pos="432"/>
          <w:tab w:val="left" w:pos="1006"/>
        </w:tabs>
        <w:spacing w:after="120" w:line="360" w:lineRule="auto"/>
        <w:ind w:firstLine="0"/>
        <w:rPr>
          <w:rFonts w:ascii="Arial" w:hAnsi="Arial" w:cs="Arial"/>
          <w:color w:val="010000"/>
          <w:sz w:val="20"/>
        </w:rPr>
      </w:pPr>
      <w:r>
        <w:rPr>
          <w:rFonts w:ascii="Arial" w:hAnsi="Arial"/>
          <w:color w:val="010000"/>
          <w:sz w:val="20"/>
        </w:rPr>
        <w:t>The salary and remuneration plan for the Board of Directors and the Supervisory Board 2024 is VND 2,391,906,000.</w:t>
      </w:r>
    </w:p>
    <w:p w14:paraId="0C10648B" w14:textId="77777777" w:rsidR="009F0ACB" w:rsidRPr="000A5BEF" w:rsidRDefault="00682EF8" w:rsidP="000A5BEF">
      <w:pPr>
        <w:pStyle w:val="BodyText"/>
        <w:numPr>
          <w:ilvl w:val="0"/>
          <w:numId w:val="1"/>
        </w:numPr>
        <w:tabs>
          <w:tab w:val="left" w:pos="432"/>
          <w:tab w:val="left" w:pos="963"/>
        </w:tabs>
        <w:spacing w:after="120" w:line="360" w:lineRule="auto"/>
        <w:ind w:firstLine="0"/>
        <w:rPr>
          <w:rFonts w:ascii="Arial" w:hAnsi="Arial" w:cs="Arial"/>
          <w:color w:val="010000"/>
          <w:sz w:val="20"/>
        </w:rPr>
      </w:pPr>
      <w:r>
        <w:rPr>
          <w:rFonts w:ascii="Arial" w:hAnsi="Arial"/>
          <w:color w:val="010000"/>
          <w:sz w:val="20"/>
        </w:rPr>
        <w:t>Content 9: Approve the dismissal of members of the Board of Directors of the Company for Mr. Ngo Viet Hung and Mr. Tran Thanh Huong.</w:t>
      </w:r>
    </w:p>
    <w:p w14:paraId="6BEDDBBF" w14:textId="77777777" w:rsidR="009F0ACB" w:rsidRPr="000A5BEF" w:rsidRDefault="00682EF8" w:rsidP="000A5BEF">
      <w:pPr>
        <w:pStyle w:val="BodyText"/>
        <w:numPr>
          <w:ilvl w:val="0"/>
          <w:numId w:val="1"/>
        </w:numPr>
        <w:tabs>
          <w:tab w:val="left" w:pos="432"/>
          <w:tab w:val="left" w:pos="1087"/>
        </w:tabs>
        <w:spacing w:after="120" w:line="360" w:lineRule="auto"/>
        <w:ind w:firstLine="0"/>
        <w:rPr>
          <w:rFonts w:ascii="Arial" w:hAnsi="Arial" w:cs="Arial"/>
          <w:color w:val="010000"/>
          <w:sz w:val="20"/>
        </w:rPr>
      </w:pPr>
      <w:r>
        <w:rPr>
          <w:rFonts w:ascii="Arial" w:hAnsi="Arial"/>
          <w:color w:val="010000"/>
          <w:sz w:val="20"/>
        </w:rPr>
        <w:t>Content 10: Approve the election results of additional members of the Board of Directors</w:t>
      </w:r>
    </w:p>
    <w:p w14:paraId="1F141185" w14:textId="77777777" w:rsidR="009F0ACB" w:rsidRPr="000A5BEF" w:rsidRDefault="00682EF8" w:rsidP="000A5BEF">
      <w:pPr>
        <w:pStyle w:val="Tablecaption0"/>
        <w:tabs>
          <w:tab w:val="left" w:pos="432"/>
        </w:tabs>
        <w:spacing w:after="120" w:line="360" w:lineRule="auto"/>
        <w:jc w:val="left"/>
        <w:rPr>
          <w:rFonts w:ascii="Arial" w:hAnsi="Arial" w:cs="Arial"/>
          <w:color w:val="010000"/>
          <w:sz w:val="20"/>
        </w:rPr>
      </w:pPr>
      <w:r>
        <w:rPr>
          <w:rFonts w:ascii="Arial" w:hAnsi="Arial"/>
          <w:color w:val="010000"/>
          <w:sz w:val="20"/>
        </w:rPr>
        <w:t>Candidates elected to be members of the Board of Directors include:</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14"/>
        <w:gridCol w:w="7003"/>
      </w:tblGrid>
      <w:tr w:rsidR="001B0C3D" w:rsidRPr="000A5BEF" w14:paraId="5C72FE02" w14:textId="77777777" w:rsidTr="001B0C3D">
        <w:tc>
          <w:tcPr>
            <w:tcW w:w="1117" w:type="pct"/>
            <w:shd w:val="clear" w:color="auto" w:fill="auto"/>
            <w:vAlign w:val="center"/>
          </w:tcPr>
          <w:p w14:paraId="5FF0DAC7" w14:textId="77777777" w:rsidR="001B0C3D" w:rsidRPr="000A5BEF" w:rsidRDefault="001B0C3D" w:rsidP="000A5BEF">
            <w:pPr>
              <w:pStyle w:val="Other0"/>
              <w:tabs>
                <w:tab w:val="left" w:pos="432"/>
              </w:tabs>
              <w:spacing w:after="120" w:line="360" w:lineRule="auto"/>
              <w:ind w:firstLine="0"/>
              <w:rPr>
                <w:rFonts w:ascii="Arial" w:hAnsi="Arial" w:cs="Arial"/>
                <w:color w:val="010000"/>
                <w:sz w:val="20"/>
              </w:rPr>
            </w:pPr>
            <w:r>
              <w:rPr>
                <w:rFonts w:ascii="Arial" w:hAnsi="Arial"/>
                <w:color w:val="010000"/>
                <w:sz w:val="20"/>
              </w:rPr>
              <w:t>No.</w:t>
            </w:r>
          </w:p>
        </w:tc>
        <w:tc>
          <w:tcPr>
            <w:tcW w:w="3883" w:type="pct"/>
            <w:shd w:val="clear" w:color="auto" w:fill="auto"/>
            <w:vAlign w:val="center"/>
          </w:tcPr>
          <w:p w14:paraId="3605FEBA" w14:textId="77777777" w:rsidR="001B0C3D" w:rsidRPr="000A5BEF" w:rsidRDefault="001B0C3D" w:rsidP="000A5BEF">
            <w:pPr>
              <w:pStyle w:val="Other0"/>
              <w:tabs>
                <w:tab w:val="left" w:pos="432"/>
              </w:tabs>
              <w:spacing w:after="120" w:line="360" w:lineRule="auto"/>
              <w:ind w:firstLine="0"/>
              <w:rPr>
                <w:rFonts w:ascii="Arial" w:hAnsi="Arial" w:cs="Arial"/>
                <w:color w:val="010000"/>
                <w:sz w:val="20"/>
              </w:rPr>
            </w:pPr>
            <w:r>
              <w:rPr>
                <w:rFonts w:ascii="Arial" w:hAnsi="Arial"/>
                <w:color w:val="010000"/>
                <w:sz w:val="20"/>
              </w:rPr>
              <w:t>Full name</w:t>
            </w:r>
          </w:p>
        </w:tc>
      </w:tr>
      <w:tr w:rsidR="001B0C3D" w:rsidRPr="000A5BEF" w14:paraId="5ACDDCC1" w14:textId="77777777" w:rsidTr="001B0C3D">
        <w:tc>
          <w:tcPr>
            <w:tcW w:w="1117" w:type="pct"/>
            <w:shd w:val="clear" w:color="auto" w:fill="auto"/>
            <w:vAlign w:val="center"/>
          </w:tcPr>
          <w:p w14:paraId="42876A78" w14:textId="77777777" w:rsidR="001B0C3D" w:rsidRPr="000A5BEF" w:rsidRDefault="001B0C3D" w:rsidP="000A5BEF">
            <w:pPr>
              <w:pStyle w:val="Other0"/>
              <w:tabs>
                <w:tab w:val="left" w:pos="432"/>
              </w:tabs>
              <w:spacing w:after="120" w:line="360" w:lineRule="auto"/>
              <w:ind w:firstLine="0"/>
              <w:rPr>
                <w:rFonts w:ascii="Arial" w:hAnsi="Arial" w:cs="Arial"/>
                <w:color w:val="010000"/>
                <w:sz w:val="20"/>
              </w:rPr>
            </w:pPr>
            <w:r>
              <w:rPr>
                <w:rFonts w:ascii="Arial" w:hAnsi="Arial"/>
                <w:color w:val="010000"/>
                <w:sz w:val="20"/>
              </w:rPr>
              <w:t>1</w:t>
            </w:r>
          </w:p>
        </w:tc>
        <w:tc>
          <w:tcPr>
            <w:tcW w:w="3883" w:type="pct"/>
            <w:shd w:val="clear" w:color="auto" w:fill="auto"/>
            <w:vAlign w:val="center"/>
          </w:tcPr>
          <w:p w14:paraId="600C4BF8" w14:textId="77777777" w:rsidR="001B0C3D" w:rsidRPr="000A5BEF" w:rsidRDefault="001B0C3D" w:rsidP="000A5BEF">
            <w:pPr>
              <w:pStyle w:val="Other0"/>
              <w:tabs>
                <w:tab w:val="left" w:pos="432"/>
              </w:tabs>
              <w:spacing w:after="120" w:line="360" w:lineRule="auto"/>
              <w:ind w:firstLine="0"/>
              <w:rPr>
                <w:rFonts w:ascii="Arial" w:hAnsi="Arial" w:cs="Arial"/>
                <w:color w:val="010000"/>
                <w:sz w:val="20"/>
              </w:rPr>
            </w:pPr>
            <w:r>
              <w:rPr>
                <w:rFonts w:ascii="Arial" w:hAnsi="Arial"/>
                <w:color w:val="010000"/>
                <w:sz w:val="20"/>
              </w:rPr>
              <w:t>Le Dinh Ban</w:t>
            </w:r>
          </w:p>
        </w:tc>
      </w:tr>
      <w:tr w:rsidR="001B0C3D" w:rsidRPr="000A5BEF" w14:paraId="6555EA74" w14:textId="77777777" w:rsidTr="001B0C3D">
        <w:tc>
          <w:tcPr>
            <w:tcW w:w="1117" w:type="pct"/>
            <w:shd w:val="clear" w:color="auto" w:fill="auto"/>
            <w:vAlign w:val="center"/>
          </w:tcPr>
          <w:p w14:paraId="269AB9BF" w14:textId="77777777" w:rsidR="001B0C3D" w:rsidRPr="000A5BEF" w:rsidRDefault="001B0C3D" w:rsidP="000A5BEF">
            <w:pPr>
              <w:pStyle w:val="Other0"/>
              <w:tabs>
                <w:tab w:val="left" w:pos="432"/>
              </w:tabs>
              <w:spacing w:after="120" w:line="360" w:lineRule="auto"/>
              <w:ind w:firstLine="0"/>
              <w:rPr>
                <w:rFonts w:ascii="Arial" w:hAnsi="Arial" w:cs="Arial"/>
                <w:color w:val="010000"/>
                <w:sz w:val="20"/>
              </w:rPr>
            </w:pPr>
            <w:r>
              <w:rPr>
                <w:rFonts w:ascii="Arial" w:hAnsi="Arial"/>
                <w:color w:val="010000"/>
                <w:sz w:val="20"/>
              </w:rPr>
              <w:t>2</w:t>
            </w:r>
          </w:p>
        </w:tc>
        <w:tc>
          <w:tcPr>
            <w:tcW w:w="3883" w:type="pct"/>
            <w:shd w:val="clear" w:color="auto" w:fill="auto"/>
            <w:vAlign w:val="center"/>
          </w:tcPr>
          <w:p w14:paraId="18D4A1DE" w14:textId="77777777" w:rsidR="001B0C3D" w:rsidRPr="000A5BEF" w:rsidRDefault="001B0C3D" w:rsidP="000A5BEF">
            <w:pPr>
              <w:pStyle w:val="Other0"/>
              <w:tabs>
                <w:tab w:val="left" w:pos="432"/>
              </w:tabs>
              <w:spacing w:after="120" w:line="360" w:lineRule="auto"/>
              <w:ind w:firstLine="0"/>
              <w:rPr>
                <w:rFonts w:ascii="Arial" w:hAnsi="Arial" w:cs="Arial"/>
                <w:color w:val="010000"/>
                <w:sz w:val="20"/>
              </w:rPr>
            </w:pPr>
            <w:r>
              <w:rPr>
                <w:rFonts w:ascii="Arial" w:hAnsi="Arial"/>
                <w:color w:val="010000"/>
                <w:sz w:val="20"/>
              </w:rPr>
              <w:t>Vo Tra Dung</w:t>
            </w:r>
          </w:p>
        </w:tc>
      </w:tr>
    </w:tbl>
    <w:p w14:paraId="2C104147" w14:textId="77777777" w:rsidR="009F0ACB" w:rsidRPr="000A5BEF" w:rsidRDefault="00682EF8" w:rsidP="000A5BEF">
      <w:pPr>
        <w:pStyle w:val="BodyText"/>
        <w:tabs>
          <w:tab w:val="left" w:pos="432"/>
        </w:tabs>
        <w:spacing w:after="120" w:line="360" w:lineRule="auto"/>
        <w:ind w:firstLine="0"/>
        <w:rPr>
          <w:rFonts w:ascii="Arial" w:hAnsi="Arial" w:cs="Arial"/>
          <w:color w:val="010000"/>
          <w:sz w:val="20"/>
        </w:rPr>
      </w:pPr>
      <w:r>
        <w:rPr>
          <w:rFonts w:ascii="Arial" w:hAnsi="Arial"/>
          <w:color w:val="010000"/>
          <w:sz w:val="20"/>
        </w:rPr>
        <w:t>After consolidation, the Board of Directors of A Vuong Hydropower Joint Stock Company held a meeting on personnel work, members of The Board of Directors agreed to elect Mr. Luu Ngoc Mai Phi, a member of the Board of Directors, as Chair of the Board of Directors of the Company from the date of May 3, 2024.</w:t>
      </w:r>
    </w:p>
    <w:p w14:paraId="05B6B924" w14:textId="6EC6514D" w:rsidR="009F0ACB" w:rsidRPr="000A5BEF" w:rsidRDefault="00682EF8" w:rsidP="000A5BEF">
      <w:pPr>
        <w:pStyle w:val="BodyText"/>
        <w:tabs>
          <w:tab w:val="left" w:pos="432"/>
        </w:tabs>
        <w:spacing w:after="120" w:line="360" w:lineRule="auto"/>
        <w:ind w:firstLine="0"/>
        <w:rPr>
          <w:rFonts w:ascii="Arial" w:hAnsi="Arial" w:cs="Arial"/>
          <w:color w:val="010000"/>
          <w:sz w:val="20"/>
        </w:rPr>
      </w:pPr>
      <w:r>
        <w:rPr>
          <w:rFonts w:ascii="Arial" w:hAnsi="Arial"/>
          <w:color w:val="010000"/>
          <w:sz w:val="20"/>
        </w:rPr>
        <w:t>Article 2: The General Mandate was prepared and approved in full text at the Annual General Meeting of Shareholders 2024 and voted for by the General Meeting of Shareholders.</w:t>
      </w:r>
    </w:p>
    <w:p w14:paraId="4DE9526C" w14:textId="1FF01C88" w:rsidR="009F0ACB" w:rsidRPr="000A5BEF" w:rsidRDefault="00682EF8" w:rsidP="000A5BEF">
      <w:pPr>
        <w:pStyle w:val="BodyText"/>
        <w:tabs>
          <w:tab w:val="left" w:pos="432"/>
        </w:tabs>
        <w:spacing w:after="120" w:line="360" w:lineRule="auto"/>
        <w:ind w:firstLine="0"/>
        <w:rPr>
          <w:rFonts w:ascii="Arial" w:hAnsi="Arial" w:cs="Arial"/>
          <w:color w:val="010000"/>
          <w:sz w:val="20"/>
        </w:rPr>
      </w:pPr>
      <w:r>
        <w:rPr>
          <w:rFonts w:ascii="Arial" w:hAnsi="Arial"/>
          <w:color w:val="010000"/>
          <w:sz w:val="20"/>
        </w:rPr>
        <w:t xml:space="preserve">Article 3: This General Mandate takes effect from May 3, 2024. The Board of Directors, the Supervisory Board, General Manager and other </w:t>
      </w:r>
      <w:r w:rsidR="006034BF">
        <w:rPr>
          <w:rFonts w:ascii="Arial" w:hAnsi="Arial"/>
          <w:color w:val="010000"/>
          <w:sz w:val="20"/>
        </w:rPr>
        <w:t>m</w:t>
      </w:r>
      <w:r>
        <w:rPr>
          <w:rFonts w:ascii="Arial" w:hAnsi="Arial"/>
          <w:color w:val="010000"/>
          <w:sz w:val="20"/>
        </w:rPr>
        <w:t>anagers successfully execute the contents of this General Mandate in accordance with the law and the Company's Charter./.</w:t>
      </w:r>
    </w:p>
    <w:p w14:paraId="0B0BE9DB" w14:textId="77777777" w:rsidR="009F0ACB" w:rsidRPr="000A5BEF" w:rsidRDefault="009F0ACB" w:rsidP="000A5BEF">
      <w:pPr>
        <w:pStyle w:val="Bodytext20"/>
        <w:tabs>
          <w:tab w:val="left" w:pos="432"/>
        </w:tabs>
        <w:spacing w:after="120" w:line="360" w:lineRule="auto"/>
        <w:rPr>
          <w:color w:val="010000"/>
          <w:sz w:val="20"/>
        </w:rPr>
      </w:pPr>
    </w:p>
    <w:sectPr w:rsidR="009F0ACB" w:rsidRPr="000A5BEF" w:rsidSect="000A5BEF">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C528" w14:textId="77777777" w:rsidR="00682EF8" w:rsidRDefault="00682EF8">
      <w:r>
        <w:separator/>
      </w:r>
    </w:p>
  </w:endnote>
  <w:endnote w:type="continuationSeparator" w:id="0">
    <w:p w14:paraId="1F2E7355" w14:textId="77777777" w:rsidR="00682EF8" w:rsidRDefault="0068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2A42" w14:textId="77777777" w:rsidR="00682EF8" w:rsidRDefault="00682EF8"/>
  </w:footnote>
  <w:footnote w:type="continuationSeparator" w:id="0">
    <w:p w14:paraId="1197709E" w14:textId="77777777" w:rsidR="00682EF8" w:rsidRDefault="00682E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C36"/>
    <w:multiLevelType w:val="multilevel"/>
    <w:tmpl w:val="B12EE6B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00616C"/>
    <w:multiLevelType w:val="multilevel"/>
    <w:tmpl w:val="37F64F5A"/>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8"/>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FBB028E"/>
    <w:multiLevelType w:val="multilevel"/>
    <w:tmpl w:val="3484115E"/>
    <w:lvl w:ilvl="0">
      <w:start w:val="1"/>
      <w:numFmt w:val="lowerLetter"/>
      <w:lvlText w:val="%1."/>
      <w:lvlJc w:val="left"/>
      <w:rPr>
        <w:rFonts w:ascii="Arial" w:eastAsia="Times New Roman" w:hAnsi="Arial" w:cs="Arial"/>
        <w:b w:val="0"/>
        <w:bCs/>
        <w:i w:val="0"/>
        <w:iCs w:val="0"/>
        <w:smallCaps w:val="0"/>
        <w:strike w:val="0"/>
        <w:color w:val="000000"/>
        <w:spacing w:val="0"/>
        <w:w w:val="100"/>
        <w:position w:val="0"/>
        <w:sz w:val="20"/>
        <w:szCs w:val="28"/>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CB"/>
    <w:rsid w:val="000A5BEF"/>
    <w:rsid w:val="001B0C3D"/>
    <w:rsid w:val="006034BF"/>
    <w:rsid w:val="00682EF8"/>
    <w:rsid w:val="009F0ACB"/>
    <w:rsid w:val="00C54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A45B"/>
  <w15:docId w15:val="{FA9C552E-6E84-488C-AEEC-893120D3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Tablecaption0">
    <w:name w:val="Table caption"/>
    <w:basedOn w:val="Normal"/>
    <w:link w:val="Tablecaption"/>
    <w:pPr>
      <w:jc w:val="center"/>
    </w:pPr>
    <w:rPr>
      <w:rFonts w:ascii="Times New Roman" w:eastAsia="Times New Roman" w:hAnsi="Times New Roman" w:cs="Times New Roman"/>
      <w:sz w:val="28"/>
      <w:szCs w:val="28"/>
    </w:rPr>
  </w:style>
  <w:style w:type="paragraph" w:customStyle="1" w:styleId="Other0">
    <w:name w:val="Other"/>
    <w:basedOn w:val="Normal"/>
    <w:link w:val="Other"/>
    <w:pPr>
      <w:ind w:firstLine="400"/>
    </w:pPr>
    <w:rPr>
      <w:rFonts w:ascii="Times New Roman" w:eastAsia="Times New Roman" w:hAnsi="Times New Roman" w:cs="Times New Roman"/>
      <w:sz w:val="28"/>
      <w:szCs w:val="28"/>
    </w:rPr>
  </w:style>
  <w:style w:type="paragraph" w:customStyle="1" w:styleId="Bodytext40">
    <w:name w:val="Body text (4)"/>
    <w:basedOn w:val="Normal"/>
    <w:link w:val="Bodytext4"/>
    <w:pPr>
      <w:spacing w:line="233" w:lineRule="auto"/>
      <w:jc w:val="center"/>
    </w:pPr>
    <w:rPr>
      <w:rFonts w:ascii="Arial" w:eastAsia="Arial" w:hAnsi="Arial" w:cs="Arial"/>
      <w:sz w:val="26"/>
      <w:szCs w:val="26"/>
    </w:rPr>
  </w:style>
  <w:style w:type="paragraph" w:customStyle="1" w:styleId="Bodytext20">
    <w:name w:val="Body text (2)"/>
    <w:basedOn w:val="Normal"/>
    <w:link w:val="Bodytext2"/>
    <w:rPr>
      <w:rFonts w:ascii="Arial" w:eastAsia="Arial" w:hAnsi="Arial" w:cs="Arial"/>
      <w:sz w:val="8"/>
      <w:szCs w:val="8"/>
    </w:rPr>
  </w:style>
  <w:style w:type="paragraph" w:customStyle="1" w:styleId="Heading10">
    <w:name w:val="Heading #1"/>
    <w:basedOn w:val="Normal"/>
    <w:link w:val="Heading1"/>
    <w:pPr>
      <w:spacing w:line="214" w:lineRule="auto"/>
      <w:jc w:val="center"/>
      <w:outlineLvl w:val="0"/>
    </w:pPr>
    <w:rPr>
      <w:rFonts w:ascii="Times New Roman" w:eastAsia="Times New Roman" w:hAnsi="Times New Roman" w:cs="Times New Roman"/>
      <w:b/>
      <w:bCs/>
      <w:sz w:val="32"/>
      <w:szCs w:val="32"/>
    </w:rPr>
  </w:style>
  <w:style w:type="paragraph" w:customStyle="1" w:styleId="Bodytext30">
    <w:name w:val="Body text (3)"/>
    <w:basedOn w:val="Normal"/>
    <w:link w:val="Bodytext3"/>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5</cp:revision>
  <dcterms:created xsi:type="dcterms:W3CDTF">2024-05-08T03:25:00Z</dcterms:created>
  <dcterms:modified xsi:type="dcterms:W3CDTF">2024-05-09T02:18:00Z</dcterms:modified>
</cp:coreProperties>
</file>