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F4EDA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BDW: Annual General Mandate 2024</w:t>
      </w:r>
    </w:p>
    <w:p w14:paraId="41F0D1F8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</w:t>
      </w:r>
      <w:proofErr w:type="spellStart"/>
      <w:r>
        <w:rPr>
          <w:rFonts w:ascii="Arial" w:hAnsi="Arial"/>
          <w:color w:val="010000"/>
          <w:sz w:val="20"/>
        </w:rPr>
        <w:t>Binhdinh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Joint Stock Company announced General Mandate No. 04/ NQ-DHDCD as follows: </w:t>
      </w:r>
    </w:p>
    <w:p w14:paraId="4EB3E997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Operational Report 2023 and Direction of the Board of Directors in 2024.</w:t>
      </w:r>
    </w:p>
    <w:p w14:paraId="67151F2B" w14:textId="390B4DDB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Approve the Operational Report 2023 and </w:t>
      </w:r>
      <w:r w:rsidR="009A32D1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Direction of the Supervisory Board in 2024.</w:t>
      </w:r>
    </w:p>
    <w:p w14:paraId="3059A23E" w14:textId="01B6AED1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Approve the production and business results in 2023, </w:t>
      </w:r>
      <w:r w:rsidR="000B2469">
        <w:rPr>
          <w:rFonts w:ascii="Arial" w:hAnsi="Arial"/>
          <w:color w:val="010000"/>
          <w:sz w:val="20"/>
        </w:rPr>
        <w:t>the independent</w:t>
      </w:r>
      <w:r>
        <w:rPr>
          <w:rFonts w:ascii="Arial" w:hAnsi="Arial"/>
          <w:color w:val="010000"/>
          <w:sz w:val="20"/>
        </w:rPr>
        <w:t xml:space="preserve"> audited financial statements 2023</w:t>
      </w:r>
      <w:r w:rsidR="009A32D1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appraised by the Company's Supervisory Board as follows:</w:t>
      </w:r>
    </w:p>
    <w:p w14:paraId="79B1F465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2"/>
          <w:tab w:val="right" w:pos="6115"/>
          <w:tab w:val="right" w:pos="7994"/>
          <w:tab w:val="left" w:pos="81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revenue: VND 278,230,252,959;</w:t>
      </w:r>
    </w:p>
    <w:p w14:paraId="3AF9B8A8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2"/>
          <w:tab w:val="right" w:pos="6115"/>
          <w:tab w:val="right" w:pos="7994"/>
          <w:tab w:val="left" w:pos="81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expenses: VND 221,841,984,767;</w:t>
      </w:r>
    </w:p>
    <w:p w14:paraId="192DE983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2"/>
          <w:tab w:val="right" w:pos="7994"/>
          <w:tab w:val="left" w:pos="81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before tax: VND 56,388,268,192;</w:t>
      </w:r>
    </w:p>
    <w:p w14:paraId="11641053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2"/>
          <w:tab w:val="right" w:pos="6115"/>
          <w:tab w:val="right" w:pos="7994"/>
          <w:tab w:val="left" w:pos="8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VND 45,020,989,183;</w:t>
      </w:r>
    </w:p>
    <w:p w14:paraId="46D2E970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27"/>
          <w:tab w:val="right" w:pos="7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margin after tax/ charter capital: 36.28%</w:t>
      </w:r>
    </w:p>
    <w:p w14:paraId="24524AC0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4. Approve the distribution of profit after tax in 2023 as follows: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3"/>
        <w:gridCol w:w="5989"/>
        <w:gridCol w:w="2225"/>
      </w:tblGrid>
      <w:tr w:rsidR="00FA0088" w:rsidRPr="00185498" w14:paraId="5BAC31C7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A7228" w14:textId="77777777" w:rsidR="00FA0088" w:rsidRPr="00185498" w:rsidRDefault="00185498" w:rsidP="009A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A2A2C" w14:textId="77777777" w:rsidR="00FA0088" w:rsidRPr="00185498" w:rsidRDefault="00185498" w:rsidP="009A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091F5" w14:textId="77777777" w:rsidR="00FA0088" w:rsidRPr="00185498" w:rsidRDefault="00185498" w:rsidP="009A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FA0088" w:rsidRPr="00185498" w14:paraId="00AD41B6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E8DF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8FB11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4C02D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45,020,989,183</w:t>
            </w:r>
          </w:p>
        </w:tc>
      </w:tr>
      <w:tr w:rsidR="00FA0088" w:rsidRPr="00185498" w14:paraId="4791774C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EA1E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6235D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Distribution of profit after tax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7833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45,020,989,183</w:t>
            </w:r>
          </w:p>
        </w:tc>
      </w:tr>
      <w:tr w:rsidR="00FA0088" w:rsidRPr="00185498" w14:paraId="6F4B21CA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A7FCB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558C6" w14:textId="41D73DEB" w:rsidR="00FA0088" w:rsidRPr="00185498" w:rsidRDefault="00AF6F1C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B8F7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13,048,093,183</w:t>
            </w:r>
          </w:p>
        </w:tc>
      </w:tr>
      <w:tr w:rsidR="00FA0088" w:rsidRPr="00185498" w14:paraId="047B4FC5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C3BB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AD223" w14:textId="2B273AC0" w:rsidR="00FA0088" w:rsidRPr="00185498" w:rsidRDefault="00AF6F1C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C649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15,218,316,000</w:t>
            </w:r>
          </w:p>
        </w:tc>
      </w:tr>
      <w:tr w:rsidR="00FA0088" w:rsidRPr="00185498" w14:paraId="1C8088F1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FEF6B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2.2.7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08DD9" w14:textId="360279ED" w:rsidR="00FA0088" w:rsidRPr="00AF6F1C" w:rsidRDefault="00AF6F1C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>Welfare fund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E9D9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12,174,652,800</w:t>
            </w:r>
          </w:p>
        </w:tc>
      </w:tr>
      <w:tr w:rsidR="00FA0088" w:rsidRPr="00185498" w14:paraId="697754FF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24C4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2.2.2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551FA" w14:textId="77777777" w:rsidR="00FA0088" w:rsidRPr="00AF6F1C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>Bonus fund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6CC46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3,043,663,200</w:t>
            </w:r>
          </w:p>
        </w:tc>
      </w:tr>
      <w:tr w:rsidR="00FA0088" w:rsidRPr="00185498" w14:paraId="57864BF4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4A3FD" w14:textId="77777777" w:rsidR="00FA0088" w:rsidRPr="00185498" w:rsidRDefault="00FA0088" w:rsidP="00AF6F1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3E339" w14:textId="77777777" w:rsidR="00FA0088" w:rsidRPr="00AF6F1C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>In which: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0D208" w14:textId="77777777" w:rsidR="00FA0088" w:rsidRPr="00185498" w:rsidRDefault="00FA0088" w:rsidP="00AF6F1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06CED480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CC1AE" w14:textId="77777777" w:rsidR="00FA0088" w:rsidRPr="00185498" w:rsidRDefault="00FA0088" w:rsidP="00AF6F1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F1B96" w14:textId="77777777" w:rsidR="00FA0088" w:rsidRPr="00AF6F1C" w:rsidRDefault="00185498" w:rsidP="00847D5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>Bonus fund for the employees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2082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2,707,225,200</w:t>
            </w:r>
          </w:p>
        </w:tc>
      </w:tr>
      <w:tr w:rsidR="00FA0088" w:rsidRPr="00185498" w14:paraId="67DE37A8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AE54D" w14:textId="77777777" w:rsidR="00FA0088" w:rsidRPr="00185498" w:rsidRDefault="00FA0088" w:rsidP="00AF6F1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B9AA7" w14:textId="77777777" w:rsidR="00FA0088" w:rsidRPr="00AF6F1C" w:rsidRDefault="00185498" w:rsidP="00847D5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>Bonus fund for managers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8F726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336,438,000</w:t>
            </w:r>
          </w:p>
        </w:tc>
      </w:tr>
      <w:tr w:rsidR="00FA0088" w:rsidRPr="00185498" w14:paraId="4CB01C9B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A137A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A1B4B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fund (rate of 13.50% on charter capital)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5DC4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16,754,580,000</w:t>
            </w:r>
          </w:p>
        </w:tc>
      </w:tr>
      <w:tr w:rsidR="00FA0088" w:rsidRPr="00185498" w14:paraId="4E39E2A1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6427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0DF77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profits in 2023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9CB5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</w:tr>
      <w:tr w:rsidR="00FA0088" w:rsidRPr="00185498" w14:paraId="04651B25" w14:textId="77777777" w:rsidTr="00185498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80C2A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75A49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undistributed profits transferred to next year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F70BE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32,460,030,646</w:t>
            </w:r>
          </w:p>
        </w:tc>
      </w:tr>
    </w:tbl>
    <w:p w14:paraId="35CF0022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5. Approve the production and business plan 2024 as follows</w:t>
      </w:r>
    </w:p>
    <w:p w14:paraId="6144D9D6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revenue: VND 280,000 million;</w:t>
      </w:r>
    </w:p>
    <w:p w14:paraId="2965DD81" w14:textId="3DADABAF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profit before tax: VND 47,600 </w:t>
      </w:r>
      <w:r w:rsidR="000B2469">
        <w:rPr>
          <w:rFonts w:ascii="Arial" w:hAnsi="Arial"/>
          <w:color w:val="010000"/>
          <w:sz w:val="20"/>
        </w:rPr>
        <w:t>m</w:t>
      </w:r>
      <w:r>
        <w:rPr>
          <w:rFonts w:ascii="Arial" w:hAnsi="Arial"/>
          <w:color w:val="010000"/>
          <w:sz w:val="20"/>
        </w:rPr>
        <w:t>illion.</w:t>
      </w:r>
    </w:p>
    <w:p w14:paraId="43EF73E2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margin after tax/ charter capital: 30.68%</w:t>
      </w:r>
    </w:p>
    <w:p w14:paraId="543D6CA8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Expected dividend distribution/charter capital ratio: 10.50%</w:t>
      </w:r>
    </w:p>
    <w:p w14:paraId="537E54C7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6. Approve the profit after tax distribution plan 2024 as follows: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8"/>
        <w:gridCol w:w="6213"/>
        <w:gridCol w:w="1966"/>
      </w:tblGrid>
      <w:tr w:rsidR="00FA0088" w:rsidRPr="00185498" w14:paraId="7AD9B0F1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737C7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38CD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EA26B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FA0088" w:rsidRPr="00185498" w14:paraId="6666EE3D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6181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72503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3CB3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38,080,000,000</w:t>
            </w:r>
          </w:p>
        </w:tc>
      </w:tr>
      <w:tr w:rsidR="00FA0088" w:rsidRPr="00185498" w14:paraId="1795D4C9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E996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F5524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Distribution of profit after tax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2085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38,080,000,000</w:t>
            </w:r>
          </w:p>
        </w:tc>
      </w:tr>
      <w:tr w:rsidR="00FA0088" w:rsidRPr="00185498" w14:paraId="2939C209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0CFD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1C352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fund.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EE952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11,090,400,000</w:t>
            </w:r>
          </w:p>
        </w:tc>
      </w:tr>
      <w:tr w:rsidR="00FA0088" w:rsidRPr="00185498" w14:paraId="3D8FD8AB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5A58B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C89E8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fund: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35CE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13,958,260,000</w:t>
            </w:r>
          </w:p>
        </w:tc>
      </w:tr>
      <w:tr w:rsidR="00FA0088" w:rsidRPr="00185498" w14:paraId="7BB3CB77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7EE4A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2.2.1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D6260" w14:textId="34CB41A4" w:rsidR="00FA0088" w:rsidRPr="00AF6F1C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 xml:space="preserve">Welfare Fund (80% of </w:t>
            </w:r>
            <w:r w:rsidR="000B2469" w:rsidRPr="00AF6F1C">
              <w:rPr>
                <w:rFonts w:ascii="Arial" w:hAnsi="Arial"/>
                <w:i/>
                <w:color w:val="010000"/>
                <w:sz w:val="20"/>
              </w:rPr>
              <w:t>Welfare and Bonus</w:t>
            </w:r>
            <w:r w:rsidRPr="00AF6F1C">
              <w:rPr>
                <w:rFonts w:ascii="Arial" w:hAnsi="Arial"/>
                <w:i/>
                <w:color w:val="010000"/>
                <w:sz w:val="20"/>
              </w:rPr>
              <w:t xml:space="preserve"> </w:t>
            </w:r>
            <w:r w:rsidR="000B2469" w:rsidRPr="00AF6F1C">
              <w:rPr>
                <w:rFonts w:ascii="Arial" w:hAnsi="Arial"/>
                <w:i/>
                <w:color w:val="010000"/>
                <w:sz w:val="20"/>
              </w:rPr>
              <w:t>f</w:t>
            </w:r>
            <w:r w:rsidRPr="00AF6F1C">
              <w:rPr>
                <w:rFonts w:ascii="Arial" w:hAnsi="Arial"/>
                <w:i/>
                <w:color w:val="010000"/>
                <w:sz w:val="20"/>
              </w:rPr>
              <w:t>und)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3E06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11,166,608,000</w:t>
            </w:r>
          </w:p>
        </w:tc>
      </w:tr>
      <w:tr w:rsidR="00FA0088" w:rsidRPr="00185498" w14:paraId="00FEAB24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1997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2.2.2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8CF7B" w14:textId="449F780C" w:rsidR="00FA0088" w:rsidRPr="00AF6F1C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 xml:space="preserve">Reward Fund (20% of </w:t>
            </w:r>
            <w:r w:rsidR="000B2469" w:rsidRPr="00AF6F1C">
              <w:rPr>
                <w:rFonts w:ascii="Arial" w:hAnsi="Arial"/>
                <w:i/>
                <w:color w:val="010000"/>
                <w:sz w:val="20"/>
              </w:rPr>
              <w:t>Welfare and Bonus fund</w:t>
            </w:r>
            <w:r w:rsidRPr="00AF6F1C">
              <w:rPr>
                <w:rFonts w:ascii="Arial" w:hAnsi="Arial"/>
                <w:i/>
                <w:color w:val="010000"/>
                <w:sz w:val="20"/>
              </w:rPr>
              <w:t>)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C817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2,791,652,000</w:t>
            </w:r>
          </w:p>
        </w:tc>
      </w:tr>
      <w:tr w:rsidR="00FA0088" w:rsidRPr="00185498" w14:paraId="452B29F5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82472" w14:textId="77777777" w:rsidR="00FA0088" w:rsidRPr="00185498" w:rsidRDefault="00FA0088" w:rsidP="00AF6F1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B153C" w14:textId="77777777" w:rsidR="00FA0088" w:rsidRPr="00AF6F1C" w:rsidRDefault="00185498" w:rsidP="00847D5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>Bonus fund for the employees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A92B7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2,506,532,000</w:t>
            </w:r>
          </w:p>
        </w:tc>
      </w:tr>
      <w:tr w:rsidR="00FA0088" w:rsidRPr="00185498" w14:paraId="279322B8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56DAE" w14:textId="77777777" w:rsidR="00FA0088" w:rsidRPr="00185498" w:rsidRDefault="00FA0088" w:rsidP="00AF6F1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D5F3D" w14:textId="77777777" w:rsidR="00FA0088" w:rsidRPr="00AF6F1C" w:rsidRDefault="00185498" w:rsidP="00847D5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AF6F1C">
              <w:rPr>
                <w:rFonts w:ascii="Arial" w:hAnsi="Arial"/>
                <w:i/>
                <w:color w:val="010000"/>
                <w:sz w:val="20"/>
              </w:rPr>
              <w:t>Bonus fund for managers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B7562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285,120,000</w:t>
            </w:r>
          </w:p>
        </w:tc>
      </w:tr>
      <w:tr w:rsidR="00FA0088" w:rsidRPr="00185498" w14:paraId="1E102FB6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7B8E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D110C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Dividend fund </w:t>
            </w:r>
            <w:r w:rsidRPr="00AF6F1C">
              <w:rPr>
                <w:rFonts w:ascii="Arial" w:hAnsi="Arial"/>
                <w:i/>
                <w:color w:val="010000"/>
                <w:sz w:val="20"/>
              </w:rPr>
              <w:t>(rate of 10.50% on charter capital)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3A36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13,031,340,000</w:t>
            </w:r>
          </w:p>
        </w:tc>
      </w:tr>
      <w:tr w:rsidR="00FA0088" w:rsidRPr="00185498" w14:paraId="5344F0A7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320AC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9523C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profits in 2024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4831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FA0088" w:rsidRPr="00185498" w14:paraId="1A48AB28" w14:textId="77777777" w:rsidTr="00185498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10977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4E90D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undistributed profits transferred to next year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D9B3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32,460,030,646</w:t>
            </w:r>
          </w:p>
        </w:tc>
      </w:tr>
    </w:tbl>
    <w:p w14:paraId="70DAE217" w14:textId="77777777" w:rsidR="00FA0088" w:rsidRPr="00AF6F1C" w:rsidRDefault="00185498" w:rsidP="00847D5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AF6F1C">
        <w:rPr>
          <w:rFonts w:ascii="Arial" w:hAnsi="Arial"/>
          <w:i/>
          <w:color w:val="010000"/>
          <w:sz w:val="20"/>
        </w:rPr>
        <w:t>Notes: In case the realized profit in 2024 is not enough to deduct the Reward and Welfare Fund (Employee Reward and Welfare Fund: deduct 3 months of the employee's realized salary; Manager Bonus Fund: deduct 1.5 months of the manager's salary), the rate of deduction of the Reward and Welfare Fund is 40% of the profit after tax in 2024.</w:t>
      </w:r>
    </w:p>
    <w:p w14:paraId="18206DEA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7. Approve the portfolio of investment projects in 2024 as follows:</w:t>
      </w:r>
    </w:p>
    <w:p w14:paraId="2F2570AB" w14:textId="77777777" w:rsidR="00FA0088" w:rsidRPr="00AF6F1C" w:rsidRDefault="00185498" w:rsidP="00AF6F1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AF6F1C">
        <w:rPr>
          <w:rFonts w:ascii="Arial" w:hAnsi="Arial"/>
          <w:i/>
          <w:color w:val="010000"/>
          <w:sz w:val="20"/>
        </w:rPr>
        <w:t>Unit Million VND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3098"/>
        <w:gridCol w:w="1076"/>
        <w:gridCol w:w="1428"/>
        <w:gridCol w:w="1112"/>
        <w:gridCol w:w="1762"/>
      </w:tblGrid>
      <w:tr w:rsidR="00FA0088" w:rsidRPr="00185498" w14:paraId="7C6CFBA6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00E9C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No.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D633E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Name of Items, Constructions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522EF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Total Expected Investment</w:t>
            </w:r>
          </w:p>
          <w:p w14:paraId="54C9E365" w14:textId="77777777" w:rsidR="00FA0088" w:rsidRPr="00002C1C" w:rsidRDefault="00FA008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578D9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Total funding accumulated through the end of 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A10E6" w14:textId="796F4320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Expected results in 2024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708E4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Note</w:t>
            </w:r>
          </w:p>
        </w:tc>
      </w:tr>
      <w:tr w:rsidR="00FA0088" w:rsidRPr="00185498" w14:paraId="2014D23D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F13ED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I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C586C" w14:textId="54E07E39" w:rsidR="00FA0088" w:rsidRPr="00002C1C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 xml:space="preserve">Unfinished </w:t>
            </w:r>
            <w:r w:rsidR="00AF6F1C" w:rsidRPr="00002C1C">
              <w:rPr>
                <w:rFonts w:ascii="Arial" w:hAnsi="Arial"/>
                <w:b/>
                <w:color w:val="010000"/>
                <w:sz w:val="20"/>
              </w:rPr>
              <w:t xml:space="preserve">investment </w:t>
            </w:r>
            <w:r w:rsidRPr="00002C1C">
              <w:rPr>
                <w:rFonts w:ascii="Arial" w:hAnsi="Arial"/>
                <w:b/>
                <w:color w:val="010000"/>
                <w:sz w:val="20"/>
              </w:rPr>
              <w:t xml:space="preserve">portfolio </w:t>
            </w:r>
            <w:r w:rsidR="000B2469" w:rsidRPr="00002C1C">
              <w:rPr>
                <w:rFonts w:ascii="Arial" w:hAnsi="Arial"/>
                <w:b/>
                <w:color w:val="010000"/>
                <w:sz w:val="20"/>
              </w:rPr>
              <w:t>continues</w:t>
            </w:r>
            <w:r w:rsidR="00BA4FA7" w:rsidRPr="00002C1C">
              <w:rPr>
                <w:rFonts w:ascii="Arial" w:hAnsi="Arial"/>
                <w:b/>
                <w:color w:val="010000"/>
                <w:sz w:val="20"/>
              </w:rPr>
              <w:t xml:space="preserve"> to be implemented</w:t>
            </w:r>
            <w:r w:rsidRPr="00002C1C">
              <w:rPr>
                <w:rFonts w:ascii="Arial" w:hAnsi="Arial"/>
                <w:b/>
                <w:color w:val="010000"/>
                <w:sz w:val="20"/>
              </w:rPr>
              <w:t xml:space="preserve"> in 2024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8DB50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159,834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248C2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71,846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DF2E5" w14:textId="77777777" w:rsidR="00FA0088" w:rsidRPr="00002C1C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02C1C">
              <w:rPr>
                <w:rFonts w:ascii="Arial" w:hAnsi="Arial"/>
                <w:b/>
                <w:color w:val="010000"/>
                <w:sz w:val="20"/>
              </w:rPr>
              <w:t>83,532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C32C7" w14:textId="77777777" w:rsidR="00FA0088" w:rsidRPr="00185498" w:rsidRDefault="00FA0088" w:rsidP="00847D5A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2D8B1C32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22EBF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84541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Renovation of water supply pipes through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bridge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5AFB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30F4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D935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2,810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A898A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Transition from 2023, completion in 2024</w:t>
            </w:r>
          </w:p>
        </w:tc>
      </w:tr>
      <w:tr w:rsidR="00FA0088" w:rsidRPr="00185498" w14:paraId="7F335086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57252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F8A8E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Supplement raw water sources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Tai water treatment plant</w:t>
            </w:r>
          </w:p>
          <w:p w14:paraId="48335076" w14:textId="77777777" w:rsidR="00FA0088" w:rsidRPr="00185498" w:rsidRDefault="00FA008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2A7C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17,325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AEF6E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6,869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03816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6,000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477C4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Transition from 2023, completion in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Q1 2024</w:t>
            </w:r>
          </w:p>
        </w:tc>
      </w:tr>
      <w:tr w:rsidR="00FA0088" w:rsidRPr="00185498" w14:paraId="7E15A111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518F7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BB856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of auxiliary items of the water supply system (fences, warehouses, mechanical workshops ...)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B97C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A93A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EFF6C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2,197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9D463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Transition from 2023, completion in 2024</w:t>
            </w:r>
          </w:p>
        </w:tc>
      </w:tr>
      <w:tr w:rsidR="00FA0088" w:rsidRPr="00185498" w14:paraId="7BE5B787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117D7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C66F3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Investment and renovation of the water supply system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 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65BEE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27,200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1A9A2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16,920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55C1B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10,280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B50BF" w14:textId="77777777" w:rsidR="00FA0088" w:rsidRPr="00185498" w:rsidRDefault="00FA0088" w:rsidP="00847D5A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376FCAC7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EB7E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19DCA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renovation of water supply system of Water Supply Enterprise No. 1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F20CE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71,078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A512F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29,307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9437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41,771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D88A4" w14:textId="77777777" w:rsidR="00FA0088" w:rsidRPr="00185498" w:rsidRDefault="00FA0088" w:rsidP="00847D5A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1EC6C91B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30DE8" w14:textId="06AFBE60" w:rsidR="00FA0088" w:rsidRPr="00185498" w:rsidRDefault="00994AD9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5.1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9606A" w14:textId="233494FA" w:rsidR="00FA0088" w:rsidRPr="00185498" w:rsidRDefault="00002C1C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Increase the capacity of </w:t>
            </w:r>
            <w:r w:rsidR="00185498">
              <w:rPr>
                <w:rFonts w:ascii="Arial" w:hAnsi="Arial"/>
                <w:color w:val="010000"/>
                <w:sz w:val="20"/>
              </w:rPr>
              <w:t>water treatment plant in Dam Da ward from 1,650m3/day and night to 2,900m3/day and night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481E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21A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0005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A39C3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5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Transition, completion in 2024</w:t>
            </w:r>
          </w:p>
        </w:tc>
      </w:tr>
      <w:tr w:rsidR="00FA0088" w:rsidRPr="00185498" w14:paraId="7F071637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DCD6D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5.2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EA66A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Domestic water supply plant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town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305DA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64,578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451C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29,307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1905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35,271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A2B2C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15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Transition, completion in 2024</w:t>
            </w:r>
          </w:p>
        </w:tc>
      </w:tr>
      <w:tr w:rsidR="00FA0088" w:rsidRPr="00185498" w14:paraId="5C037465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C370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751D1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Investment and renovation of water supply system of Water Supply Enterprise No. 2 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AB61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17,198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75676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12,612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CADC2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4,586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2AA7E" w14:textId="77777777" w:rsidR="00FA0088" w:rsidRPr="00185498" w:rsidRDefault="00FA008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3ECCAA66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5319E" w14:textId="3C6F0BE6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6.1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D3597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the capacity of Tang Bat Ho water treatment plant from 600m3/day and night to 2,000 m3/day and night</w:t>
            </w:r>
          </w:p>
          <w:p w14:paraId="2B1DCEBA" w14:textId="77777777" w:rsidR="00FA0088" w:rsidRPr="00185498" w:rsidRDefault="00FA008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08C9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D45BC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1,588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8F37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412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128F2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048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Completion in Q1 2024;</w:t>
            </w:r>
          </w:p>
        </w:tc>
      </w:tr>
      <w:tr w:rsidR="00FA0088" w:rsidRPr="00185498" w14:paraId="1F2C368C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1E6C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6.2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ED3A1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Focus on expanding the network of transmission and distribution pipelines in the wards: Bong Son,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Tan,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Tam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Tam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Nam,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town;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town, Tang Bat Ho town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9ACF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15,198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C712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11,024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D58E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4,174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791AB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Transition from 2023, completion in 2024</w:t>
            </w:r>
          </w:p>
        </w:tc>
      </w:tr>
      <w:tr w:rsidR="00FA0088" w:rsidRPr="00185498" w14:paraId="6CF2A0F5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56223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2CB47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Consultancy on surveying and setting up the project of D600 pipeline along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road extension,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 (from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new National Highway 19 to Ly Thai To booster pumping station)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D58A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EF42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9752D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12699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Transition </w:t>
            </w:r>
          </w:p>
        </w:tc>
      </w:tr>
      <w:tr w:rsidR="00FA0088" w:rsidRPr="00185498" w14:paraId="4F60C96C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5CDFE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C4DD5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Digitize water supply systems based on GIS data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2C5F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04EB2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7D99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2F795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Transition </w:t>
            </w:r>
          </w:p>
        </w:tc>
      </w:tr>
      <w:tr w:rsidR="00FA0088" w:rsidRPr="00185498" w14:paraId="08007120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C1A36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66BA1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Expand the network of transmission and distribution pipelines in 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town;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town, Ngo May town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BA31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14,533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C1AD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4,645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DBAFD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9,888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B4770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Transitions from the items in 2023: Upgrade and expand the water supply network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 ward and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town</w:t>
            </w:r>
          </w:p>
        </w:tc>
      </w:tr>
      <w:tr w:rsidR="00FA0088" w:rsidRPr="00185498" w14:paraId="19363ECB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09F83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II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4119E" w14:textId="77777777" w:rsidR="00FA0088" w:rsidRPr="00DC6983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Investment portfolio in 2024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4E0F9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76,000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76CA0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F0A7E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55,000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271D7" w14:textId="77777777" w:rsidR="00FA0088" w:rsidRPr="00DC6983" w:rsidRDefault="00FA0088" w:rsidP="00847D5A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</w:tr>
      <w:tr w:rsidR="00FA0088" w:rsidRPr="00185498" w14:paraId="688633AB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3A49F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F4E69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Pipelines and booster pump stations supply water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Hoi Economic Zone and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Ly commune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00C8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C7C2C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4463B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15,000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6F949" w14:textId="72EF76C8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36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Continue implementation according to Document No. 4598/UBND-KT dated August 28, 2017</w:t>
            </w:r>
            <w:r w:rsidR="00DC6983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Provincial People's Committee.</w:t>
            </w:r>
          </w:p>
        </w:tc>
      </w:tr>
      <w:tr w:rsidR="00FA0088" w:rsidRPr="00185498" w14:paraId="0ABA3779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9124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B12A" w14:textId="48A1527D" w:rsidR="00FA0088" w:rsidRPr="00185498" w:rsidRDefault="00185498" w:rsidP="00DC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Cast iron </w:t>
            </w:r>
            <w:r w:rsidR="00DC6983">
              <w:rPr>
                <w:rFonts w:ascii="Arial" w:hAnsi="Arial"/>
                <w:color w:val="010000"/>
                <w:sz w:val="20"/>
              </w:rPr>
              <w:t>pipeline</w:t>
            </w:r>
            <w:r>
              <w:rPr>
                <w:rFonts w:ascii="Arial" w:hAnsi="Arial"/>
                <w:color w:val="010000"/>
                <w:sz w:val="20"/>
              </w:rPr>
              <w:t xml:space="preserve"> D250 supplies water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Becamex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Industrial Area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F78D7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BAF1E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9D1A9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28,000</w:t>
            </w:r>
          </w:p>
        </w:tc>
        <w:tc>
          <w:tcPr>
            <w:tcW w:w="98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D3057" w14:textId="6FE658F4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 Document No. 8630/UBND-KT dated November 15, 2023</w:t>
            </w:r>
            <w:r w:rsidR="00DC6983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Provincial People's Committee</w:t>
            </w:r>
          </w:p>
          <w:p w14:paraId="0D943B79" w14:textId="77777777" w:rsidR="00FA0088" w:rsidRPr="00185498" w:rsidRDefault="00FA008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6CD0E9E8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EDE5F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5ABF0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Additional survey of water sources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Water Treatment Plant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216B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D4B90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87CE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1,000</w:t>
            </w:r>
          </w:p>
        </w:tc>
        <w:tc>
          <w:tcPr>
            <w:tcW w:w="98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C5620" w14:textId="77777777" w:rsidR="00FA0088" w:rsidRPr="00185498" w:rsidRDefault="00FA008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3F08A68E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A52C8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692E8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renovation of water supply system of Water Supply Enterprise No. 1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E965D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B3D96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6682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98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57C26" w14:textId="67ACD775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Implement to ensure the water supply system meets the target of </w:t>
            </w:r>
            <w:r w:rsidR="00DC6983">
              <w:rPr>
                <w:rFonts w:ascii="Arial" w:hAnsi="Arial"/>
                <w:color w:val="010000"/>
                <w:sz w:val="20"/>
              </w:rPr>
              <w:t xml:space="preserve">the </w:t>
            </w:r>
            <w:r>
              <w:rPr>
                <w:rFonts w:ascii="Arial" w:hAnsi="Arial"/>
                <w:color w:val="010000"/>
                <w:sz w:val="20"/>
              </w:rPr>
              <w:t xml:space="preserve">urban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population using clean water according to the plan issued by the Provincial People's Committee</w:t>
            </w:r>
          </w:p>
        </w:tc>
      </w:tr>
      <w:tr w:rsidR="00FA0088" w:rsidRPr="00185498" w14:paraId="4522D482" w14:textId="77777777" w:rsidTr="00185498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A6CE1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FBEAB" w14:textId="77777777" w:rsidR="00FA0088" w:rsidRPr="00185498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Investment and renovation of water supply system of Water Supply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Enterprise No. 2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2722D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6,000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2E9D5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18724" w14:textId="77777777" w:rsidR="00FA0088" w:rsidRPr="00185498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6,000</w:t>
            </w:r>
          </w:p>
        </w:tc>
        <w:tc>
          <w:tcPr>
            <w:tcW w:w="98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A462C" w14:textId="77777777" w:rsidR="00FA0088" w:rsidRPr="00185498" w:rsidRDefault="00FA008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0088" w:rsidRPr="00185498" w14:paraId="3A6BF79B" w14:textId="77777777" w:rsidTr="00DC6983">
        <w:trPr>
          <w:trHeight w:val="575"/>
        </w:trPr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F66DA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lastRenderedPageBreak/>
              <w:t>III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99B0D" w14:textId="77777777" w:rsidR="00FA0088" w:rsidRPr="00DC6983" w:rsidRDefault="00185498" w:rsidP="008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Total (=I+II)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E241A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235,834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BE651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71,846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F8857" w14:textId="77777777" w:rsidR="00FA0088" w:rsidRPr="00DC6983" w:rsidRDefault="00185498" w:rsidP="00A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C6983">
              <w:rPr>
                <w:rFonts w:ascii="Arial" w:hAnsi="Arial"/>
                <w:b/>
                <w:color w:val="010000"/>
                <w:sz w:val="20"/>
              </w:rPr>
              <w:t>138,532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E666C" w14:textId="77777777" w:rsidR="00FA0088" w:rsidRPr="00185498" w:rsidRDefault="00FA0088" w:rsidP="00847D5A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B06BBE4" w14:textId="52103114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8. Approve the contents on labor, wages, remunerations</w:t>
      </w:r>
      <w:r w:rsidR="00DC6983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bonuses implemented in 2023 as follows:</w:t>
      </w:r>
    </w:p>
    <w:p w14:paraId="2C62F7B7" w14:textId="4131EC98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  <w:tab w:val="center" w:pos="6030"/>
          <w:tab w:val="right" w:pos="8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average number of employees</w:t>
      </w:r>
      <w:r w:rsidR="002C01C0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432 employees</w:t>
      </w:r>
    </w:p>
    <w:p w14:paraId="6BC5F1CF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  <w:tab w:val="center" w:pos="6030"/>
          <w:tab w:val="right" w:pos="8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Salary fund of employees: VND 59,527,508,251;</w:t>
      </w:r>
    </w:p>
    <w:p w14:paraId="23DA733C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  <w:tab w:val="center" w:pos="6030"/>
          <w:tab w:val="right" w:pos="8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Salary fund of specialized managers: VND 2,691,504,000;</w:t>
      </w:r>
    </w:p>
    <w:p w14:paraId="0E8380F8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  <w:tab w:val="right" w:pos="8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fund for non-specialized</w:t>
      </w:r>
      <w:r>
        <w:rPr>
          <w:rFonts w:ascii="Arial" w:hAnsi="Arial"/>
          <w:b/>
          <w:bCs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managers: VND 358,848,000;</w:t>
      </w:r>
    </w:p>
    <w:p w14:paraId="65F75819" w14:textId="3C42679A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9. Approve the labor use plan, </w:t>
      </w:r>
      <w:r w:rsidR="00DC6983">
        <w:rPr>
          <w:rFonts w:ascii="Arial" w:hAnsi="Arial"/>
          <w:color w:val="010000"/>
          <w:sz w:val="20"/>
        </w:rPr>
        <w:t xml:space="preserve">and </w:t>
      </w:r>
      <w:r>
        <w:rPr>
          <w:rFonts w:ascii="Arial" w:hAnsi="Arial"/>
          <w:color w:val="010000"/>
          <w:sz w:val="20"/>
        </w:rPr>
        <w:t>build the salary, remuneration</w:t>
      </w:r>
      <w:r w:rsidR="00DC6983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bonus fund plan for 2024 as follows:</w:t>
      </w:r>
    </w:p>
    <w:p w14:paraId="5CFBA526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  <w:tab w:val="center" w:pos="6030"/>
          <w:tab w:val="right" w:pos="8343"/>
          <w:tab w:val="right" w:pos="86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average number of employees 410 employees</w:t>
      </w:r>
    </w:p>
    <w:p w14:paraId="3CFB9C7D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  <w:tab w:val="center" w:pos="6030"/>
          <w:tab w:val="right" w:pos="8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Salary fund of employees: VND 54,692,560,000;</w:t>
      </w:r>
    </w:p>
    <w:p w14:paraId="1BAF40A7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  <w:tab w:val="center" w:pos="6030"/>
          <w:tab w:val="right" w:pos="8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Salary fund of specialized managers: VND 2,280,960,000;</w:t>
      </w:r>
    </w:p>
    <w:p w14:paraId="2D5006F5" w14:textId="77777777" w:rsidR="00FA0088" w:rsidRPr="00185498" w:rsidRDefault="00185498" w:rsidP="0084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  <w:tab w:val="center" w:pos="5555"/>
          <w:tab w:val="right" w:pos="8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fund for non-specialized</w:t>
      </w:r>
      <w:r>
        <w:rPr>
          <w:rFonts w:ascii="Arial" w:hAnsi="Arial"/>
          <w:b/>
          <w:bCs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managers: VND 304,128,000;</w:t>
      </w:r>
    </w:p>
    <w:p w14:paraId="7227B8FF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self-made construction and installation salary fund planned in 2024 implemented according to the settlement of labor costs of each project.</w:t>
      </w:r>
    </w:p>
    <w:p w14:paraId="78F1003A" w14:textId="5A8D4FCB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10. Approve the list of independent audit firms and the option to select an independent audit firm to audit the financial statements </w:t>
      </w:r>
      <w:r w:rsidR="00DC6983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>2024.</w:t>
      </w:r>
    </w:p>
    <w:p w14:paraId="50A298FF" w14:textId="77777777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11. This General Mandate takes effect from April 26, 2024.</w:t>
      </w:r>
    </w:p>
    <w:p w14:paraId="08D44615" w14:textId="7A3AF835" w:rsidR="00FA0088" w:rsidRPr="00185498" w:rsidRDefault="00185498" w:rsidP="00847D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12. Members of the Board of Directors, Supervisory Board, Executive Board</w:t>
      </w:r>
      <w:r w:rsidR="00DC6983">
        <w:rPr>
          <w:rFonts w:ascii="Arial" w:hAnsi="Arial"/>
          <w:color w:val="010000"/>
          <w:sz w:val="20"/>
        </w:rPr>
        <w:t>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all shareholders of </w:t>
      </w:r>
      <w:proofErr w:type="spellStart"/>
      <w:r>
        <w:rPr>
          <w:rFonts w:ascii="Arial" w:hAnsi="Arial"/>
          <w:color w:val="010000"/>
          <w:sz w:val="20"/>
        </w:rPr>
        <w:t>Binhdinh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Joint Stock Company are responsible for implementing this General Mandate./.</w:t>
      </w:r>
    </w:p>
    <w:sectPr w:rsidR="00FA0088" w:rsidRPr="00185498" w:rsidSect="0018549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92D"/>
    <w:multiLevelType w:val="hybridMultilevel"/>
    <w:tmpl w:val="5BC4C96E"/>
    <w:lvl w:ilvl="0" w:tplc="43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578C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2665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4F3C"/>
    <w:multiLevelType w:val="hybridMultilevel"/>
    <w:tmpl w:val="73A02C1C"/>
    <w:lvl w:ilvl="0" w:tplc="B624F98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FB0E0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5CEC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520C4"/>
    <w:multiLevelType w:val="multilevel"/>
    <w:tmpl w:val="7AD4A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D669AB"/>
    <w:multiLevelType w:val="hybridMultilevel"/>
    <w:tmpl w:val="4D0C13FA"/>
    <w:lvl w:ilvl="0" w:tplc="D50E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0DA8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778D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8"/>
    <w:rsid w:val="00002C1C"/>
    <w:rsid w:val="000B2469"/>
    <w:rsid w:val="00185498"/>
    <w:rsid w:val="002C01C0"/>
    <w:rsid w:val="00847D5A"/>
    <w:rsid w:val="00994AD9"/>
    <w:rsid w:val="009A32D1"/>
    <w:rsid w:val="00AF6F1C"/>
    <w:rsid w:val="00BA4FA7"/>
    <w:rsid w:val="00DC6983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C4A2A"/>
  <w15:docId w15:val="{C6A0A64D-FEF6-4D9D-85DD-42F9EC9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/>
      <w:strike w:val="0"/>
      <w:color w:val="E90C3D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/>
      <w:iCs/>
      <w:smallCaps/>
      <w:strike w:val="0"/>
      <w:color w:val="E90C3D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09" w:lineRule="auto"/>
      <w:ind w:firstLine="240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09" w:lineRule="auto"/>
      <w:ind w:left="57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ind w:firstLine="600"/>
    </w:pPr>
    <w:rPr>
      <w:rFonts w:ascii="Arial" w:eastAsia="Arial" w:hAnsi="Arial" w:cs="Arial"/>
      <w:i/>
      <w:iCs/>
      <w:smallCaps/>
      <w:color w:val="E90C3D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216" w:lineRule="auto"/>
      <w:outlineLvl w:val="0"/>
    </w:pPr>
    <w:rPr>
      <w:rFonts w:ascii="Arial" w:eastAsia="Arial" w:hAnsi="Arial" w:cs="Arial"/>
      <w:i/>
      <w:iCs/>
      <w:smallCaps/>
      <w:color w:val="E90C3D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18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tlW/oP07dJLXe9Bz8fIlKmuYAw==">CgMxLjA4AHIhMUJnRjVmdWFBNFdmR3c1WmpLZ0lFQUtiaEVQT29hajc5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1122</Words>
  <Characters>6059</Characters>
  <Application>Microsoft Office Word</Application>
  <DocSecurity>0</DocSecurity>
  <Lines>353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Thi Quynh Trang</cp:lastModifiedBy>
  <cp:revision>10</cp:revision>
  <dcterms:created xsi:type="dcterms:W3CDTF">2024-05-07T03:56:00Z</dcterms:created>
  <dcterms:modified xsi:type="dcterms:W3CDTF">2024-05-08T07:59:00Z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e675f79804f0486168222ea5df559d57a41905a56a7def4a9a458a323d3c7b8b</vt:lpwstr>
  </property>
</Properties>
</file>