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A41A8" w14:textId="77777777" w:rsidR="00DA4C2D" w:rsidRPr="00BD04C2" w:rsidRDefault="00BD04C2" w:rsidP="00FA67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5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BRR: Annual General Mandate 2024</w:t>
      </w:r>
    </w:p>
    <w:p w14:paraId="0155A4A0" w14:textId="55685218" w:rsidR="00DA4C2D" w:rsidRPr="00BD04C2" w:rsidRDefault="00BD04C2" w:rsidP="00FA67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26, 2024, </w:t>
      </w:r>
      <w:proofErr w:type="spellStart"/>
      <w:r>
        <w:rPr>
          <w:rFonts w:ascii="Arial" w:hAnsi="Arial"/>
          <w:color w:val="010000"/>
          <w:sz w:val="20"/>
        </w:rPr>
        <w:t>BaRia</w:t>
      </w:r>
      <w:proofErr w:type="spellEnd"/>
      <w:r>
        <w:rPr>
          <w:rFonts w:ascii="Arial" w:hAnsi="Arial"/>
          <w:color w:val="010000"/>
          <w:sz w:val="20"/>
        </w:rPr>
        <w:t xml:space="preserve"> Rubber Joint Stock Company announced General Mandate No. 11/NQ-DHDCD on approving </w:t>
      </w:r>
      <w:r w:rsidR="00FA6769">
        <w:rPr>
          <w:rFonts w:ascii="Arial" w:hAnsi="Arial"/>
          <w:color w:val="010000"/>
          <w:sz w:val="20"/>
        </w:rPr>
        <w:t>several</w:t>
      </w:r>
      <w:r>
        <w:rPr>
          <w:rFonts w:ascii="Arial" w:hAnsi="Arial"/>
          <w:color w:val="010000"/>
          <w:sz w:val="20"/>
        </w:rPr>
        <w:t xml:space="preserve"> contents at the Annual General Meeting of Shareholders 2024 as follows: </w:t>
      </w:r>
    </w:p>
    <w:p w14:paraId="4D993264" w14:textId="77777777" w:rsidR="00DA4C2D" w:rsidRPr="00BD04C2" w:rsidRDefault="00BD04C2" w:rsidP="00FA67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Approve the following reports:</w:t>
      </w:r>
    </w:p>
    <w:p w14:paraId="092EFCE0" w14:textId="1E224062" w:rsidR="00DA4C2D" w:rsidRPr="00BD04C2" w:rsidRDefault="00BD04C2" w:rsidP="00FA67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No. 310/BC-HDQT dated April 24, 2024</w:t>
      </w:r>
      <w:r w:rsidR="00FA6769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of the Board of Directors on the operation results in 2023 and operation orientation in 2024.</w:t>
      </w:r>
    </w:p>
    <w:p w14:paraId="6AA7D472" w14:textId="230CA507" w:rsidR="00DA4C2D" w:rsidRPr="00BD04C2" w:rsidRDefault="00BD04C2" w:rsidP="00FA67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No. 311/BC-CSBR dated April 24, 2024</w:t>
      </w:r>
      <w:r w:rsidR="00FA6769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of the Executive Board on the production and business results in 2023 and operation orientation in 2024.</w:t>
      </w:r>
    </w:p>
    <w:p w14:paraId="438E06A9" w14:textId="3723C493" w:rsidR="00DA4C2D" w:rsidRPr="00BD04C2" w:rsidRDefault="00BD04C2" w:rsidP="00FA67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of the Supervisory Board: Report No. 08/CSBR-BKS dated April 26, 2024</w:t>
      </w:r>
      <w:r w:rsidR="00FA6769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on operation results in 2023 and plan for 2024.</w:t>
      </w:r>
    </w:p>
    <w:p w14:paraId="3AA254CA" w14:textId="72391CBB" w:rsidR="00DA4C2D" w:rsidRPr="00BD04C2" w:rsidRDefault="00BD04C2" w:rsidP="00FA67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Audited Separate Financial Statements 2023 according to Report No. 313/BC-HDQT dated April 24, 2024</w:t>
      </w:r>
      <w:r w:rsidR="00FA6769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with the following main indicators:</w:t>
      </w:r>
    </w:p>
    <w:p w14:paraId="009BA998" w14:textId="4C185DC5" w:rsidR="00DA4C2D" w:rsidRPr="00BD04C2" w:rsidRDefault="00BD04C2" w:rsidP="00FA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Total assets are VND 1,596 billion, </w:t>
      </w:r>
      <w:r w:rsidR="00FA6769">
        <w:rPr>
          <w:rFonts w:ascii="Arial" w:hAnsi="Arial"/>
          <w:color w:val="010000"/>
          <w:sz w:val="20"/>
        </w:rPr>
        <w:t>an</w:t>
      </w:r>
      <w:r>
        <w:rPr>
          <w:rFonts w:ascii="Arial" w:hAnsi="Arial"/>
          <w:color w:val="010000"/>
          <w:sz w:val="20"/>
        </w:rPr>
        <w:t xml:space="preserve"> increase of 0.6% compared to that at the beginning of the year. In which: Short-term assets are VND 298 billion (accounting for 19% of total assets), long-term assets are VND 1,298 billion (accounting for 81% of total assets);</w:t>
      </w:r>
    </w:p>
    <w:p w14:paraId="6EC5E862" w14:textId="77777777" w:rsidR="00DA4C2D" w:rsidRPr="00BD04C2" w:rsidRDefault="00BD04C2" w:rsidP="00FA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capital is VND 1,596 billion, an increase of 0.6% compared to that at the beginning of the year. In which: Payables are VND 176 billion (accounting for 11% of total capital), source of owners' equity is VND 1,352 billion (accounting for 89% of total capital)</w:t>
      </w:r>
    </w:p>
    <w:p w14:paraId="3970F256" w14:textId="77777777" w:rsidR="00DA4C2D" w:rsidRPr="00BD04C2" w:rsidRDefault="00BD04C2" w:rsidP="00FA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results in 2023:</w:t>
      </w:r>
    </w:p>
    <w:p w14:paraId="3D0DA07D" w14:textId="77777777" w:rsidR="00DA4C2D" w:rsidRPr="00BD04C2" w:rsidRDefault="00BD04C2" w:rsidP="00FA6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center" w:pos="6574"/>
          <w:tab w:val="right" w:pos="719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Latex output exploited by the Company: 9,823 tons</w:t>
      </w:r>
    </w:p>
    <w:p w14:paraId="4ED2ADAE" w14:textId="77777777" w:rsidR="00DA4C2D" w:rsidRPr="00BD04C2" w:rsidRDefault="00BD04C2" w:rsidP="00FA6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center" w:pos="6574"/>
          <w:tab w:val="right" w:pos="719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Purchased latex output includes raw materials and finished products: 1,345 tons </w:t>
      </w:r>
    </w:p>
    <w:p w14:paraId="035DD6FD" w14:textId="77777777" w:rsidR="00DA4C2D" w:rsidRPr="00BD04C2" w:rsidRDefault="00BD04C2" w:rsidP="00FA6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center" w:pos="6574"/>
          <w:tab w:val="right" w:pos="719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Consumed latex output (with purchase): 11,404 tons</w:t>
      </w:r>
    </w:p>
    <w:p w14:paraId="420D552B" w14:textId="77777777" w:rsidR="00DA4C2D" w:rsidRPr="00BD04C2" w:rsidRDefault="00BD04C2" w:rsidP="00FA6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center" w:pos="6574"/>
          <w:tab w:val="right" w:pos="719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revenue: VND 530.9 billion</w:t>
      </w:r>
    </w:p>
    <w:p w14:paraId="14892160" w14:textId="77777777" w:rsidR="00DA4C2D" w:rsidRPr="00BD04C2" w:rsidRDefault="00BD04C2" w:rsidP="00FA6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center" w:pos="6574"/>
          <w:tab w:val="right" w:pos="719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profit before tax: VND 143.6 billion;</w:t>
      </w:r>
    </w:p>
    <w:p w14:paraId="6BD20FAD" w14:textId="77777777" w:rsidR="00DA4C2D" w:rsidRPr="00BD04C2" w:rsidRDefault="00BD04C2" w:rsidP="00FA6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center" w:pos="6574"/>
          <w:tab w:val="right" w:pos="719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profit after tax: VND 135.37 billion;</w:t>
      </w:r>
    </w:p>
    <w:p w14:paraId="74B05BB4" w14:textId="54CF6B7A" w:rsidR="00DA4C2D" w:rsidRPr="00BD04C2" w:rsidRDefault="00BD04C2" w:rsidP="00FA67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Approve the profit distribution in 2023 according to Proposal No. 315/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-HDQT dated April 24, 2024</w:t>
      </w:r>
      <w:r w:rsidR="00FA6769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as follows: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069"/>
        <w:gridCol w:w="1948"/>
      </w:tblGrid>
      <w:tr w:rsidR="00DA4C2D" w:rsidRPr="00BD04C2" w14:paraId="5E5F61DA" w14:textId="77777777" w:rsidTr="00FA6769">
        <w:tc>
          <w:tcPr>
            <w:tcW w:w="3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AEBF9" w14:textId="77777777" w:rsidR="00DA4C2D" w:rsidRPr="00BD04C2" w:rsidRDefault="00BD04C2" w:rsidP="00FA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Distributed profit after tax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B725F" w14:textId="77777777" w:rsidR="00DA4C2D" w:rsidRPr="00BD04C2" w:rsidRDefault="00BD04C2" w:rsidP="00FA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135.366 billion.</w:t>
            </w:r>
          </w:p>
        </w:tc>
      </w:tr>
      <w:tr w:rsidR="00DA4C2D" w:rsidRPr="00BD04C2" w14:paraId="0E2B8AD6" w14:textId="77777777" w:rsidTr="00FA6769">
        <w:tc>
          <w:tcPr>
            <w:tcW w:w="3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9E302" w14:textId="77777777" w:rsidR="00DA4C2D" w:rsidRPr="00BD04C2" w:rsidRDefault="00BD04C2" w:rsidP="00FA676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in cash (7% of charter capital)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66C0A" w14:textId="77777777" w:rsidR="00DA4C2D" w:rsidRPr="00BD04C2" w:rsidRDefault="00BD04C2" w:rsidP="00FA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78.750 billion.</w:t>
            </w:r>
          </w:p>
        </w:tc>
      </w:tr>
      <w:tr w:rsidR="00DA4C2D" w:rsidRPr="00BD04C2" w14:paraId="25FF1550" w14:textId="77777777" w:rsidTr="00FA6769">
        <w:tc>
          <w:tcPr>
            <w:tcW w:w="3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9E6FE" w14:textId="77777777" w:rsidR="00DA4C2D" w:rsidRPr="00BD04C2" w:rsidRDefault="00BD04C2" w:rsidP="00FA67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investment and development fund (25.13% of profit after tax)</w:t>
            </w:r>
          </w:p>
          <w:p w14:paraId="5A9F8167" w14:textId="77777777" w:rsidR="00DA4C2D" w:rsidRPr="00BD04C2" w:rsidRDefault="00BD04C2" w:rsidP="00FA67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bonus and welfare fund for employees: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4322C" w14:textId="77777777" w:rsidR="00DA4C2D" w:rsidRPr="00BD04C2" w:rsidRDefault="00BD04C2" w:rsidP="00FA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34.016 billion.</w:t>
            </w:r>
          </w:p>
          <w:p w14:paraId="51758F16" w14:textId="77777777" w:rsidR="00DA4C2D" w:rsidRPr="00BD04C2" w:rsidRDefault="00BD04C2" w:rsidP="00FA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22.143 billion.</w:t>
            </w:r>
          </w:p>
        </w:tc>
      </w:tr>
      <w:tr w:rsidR="00DA4C2D" w:rsidRPr="00BD04C2" w14:paraId="0E2DBD54" w14:textId="77777777" w:rsidTr="00FA6769">
        <w:tc>
          <w:tcPr>
            <w:tcW w:w="3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15B21" w14:textId="77777777" w:rsidR="00DA4C2D" w:rsidRPr="00BD04C2" w:rsidRDefault="00BD04C2" w:rsidP="00FA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(equivalent to 1.78 times of average monthly salary) </w:t>
            </w:r>
          </w:p>
          <w:p w14:paraId="7171DC40" w14:textId="77777777" w:rsidR="00DA4C2D" w:rsidRPr="00BD04C2" w:rsidRDefault="00BD04C2" w:rsidP="00FA67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Manager bonus fund (1 month salary):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B663B" w14:textId="77777777" w:rsidR="00DA4C2D" w:rsidRPr="00BD04C2" w:rsidRDefault="00BD04C2" w:rsidP="00FA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0.457 billion.</w:t>
            </w:r>
          </w:p>
        </w:tc>
      </w:tr>
    </w:tbl>
    <w:p w14:paraId="0BC4F578" w14:textId="32F77DE4" w:rsidR="00DA4C2D" w:rsidRPr="00BD04C2" w:rsidRDefault="00BD04C2" w:rsidP="00FA67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3. Approve the production, business</w:t>
      </w:r>
      <w:r w:rsidR="00E0217E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and profit distribution plan for 2024 according to Report No. 311/BC-CSBR dated April 24, 2024</w:t>
      </w:r>
      <w:r w:rsidR="00E0217E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with the following main indicators: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069"/>
        <w:gridCol w:w="1948"/>
      </w:tblGrid>
      <w:tr w:rsidR="00BD04C2" w:rsidRPr="00BD04C2" w14:paraId="0B0CC142" w14:textId="77777777" w:rsidTr="00E0217E">
        <w:tc>
          <w:tcPr>
            <w:tcW w:w="3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9A7AE" w14:textId="77777777" w:rsidR="00BD04C2" w:rsidRPr="00BD04C2" w:rsidRDefault="00BD04C2" w:rsidP="00FA67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Liquidated area for replanting: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282B1" w14:textId="77777777" w:rsidR="00BD04C2" w:rsidRPr="00BD04C2" w:rsidRDefault="00BD04C2" w:rsidP="00E0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315.05 ha</w:t>
            </w:r>
          </w:p>
        </w:tc>
      </w:tr>
      <w:tr w:rsidR="00DA4C2D" w:rsidRPr="00BD04C2" w14:paraId="4966520A" w14:textId="77777777" w:rsidTr="00E0217E">
        <w:tc>
          <w:tcPr>
            <w:tcW w:w="3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EA552" w14:textId="77777777" w:rsidR="00DA4C2D" w:rsidRPr="00BD04C2" w:rsidRDefault="00BD04C2" w:rsidP="00FA67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Area of taking care vegetative phase garden: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8F1EF" w14:textId="38C96FAB" w:rsidR="00DA4C2D" w:rsidRPr="00BD04C2" w:rsidRDefault="00BD04C2" w:rsidP="00E0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1,631.13 </w:t>
            </w:r>
            <w:r w:rsidR="00C43A5E">
              <w:rPr>
                <w:rFonts w:ascii="Arial" w:hAnsi="Arial"/>
                <w:color w:val="010000"/>
                <w:sz w:val="20"/>
              </w:rPr>
              <w:t>ha</w:t>
            </w:r>
          </w:p>
        </w:tc>
      </w:tr>
      <w:tr w:rsidR="00DA4C2D" w:rsidRPr="00BD04C2" w14:paraId="02B56960" w14:textId="77777777" w:rsidTr="00E0217E">
        <w:tc>
          <w:tcPr>
            <w:tcW w:w="3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618E7" w14:textId="77777777" w:rsidR="00DA4C2D" w:rsidRPr="00BD04C2" w:rsidRDefault="00BD04C2" w:rsidP="00FA67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Exploitation area: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65CDD" w14:textId="77777777" w:rsidR="00DA4C2D" w:rsidRPr="00BD04C2" w:rsidRDefault="00BD04C2" w:rsidP="00E0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6,095.14 ha</w:t>
            </w:r>
          </w:p>
        </w:tc>
      </w:tr>
      <w:tr w:rsidR="00DA4C2D" w:rsidRPr="00BD04C2" w14:paraId="072F356B" w14:textId="77777777" w:rsidTr="00E0217E">
        <w:tc>
          <w:tcPr>
            <w:tcW w:w="3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8283F" w14:textId="5BA5637A" w:rsidR="00DA4C2D" w:rsidRPr="00BD04C2" w:rsidRDefault="00BD04C2" w:rsidP="00FA67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Exploited rubber output</w:t>
            </w:r>
            <w:r w:rsidR="00E0217E">
              <w:rPr>
                <w:rFonts w:ascii="Arial" w:hAnsi="Arial"/>
                <w:color w:val="010000"/>
                <w:sz w:val="20"/>
              </w:rPr>
              <w:t>: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CBE59" w14:textId="77777777" w:rsidR="00DA4C2D" w:rsidRPr="00BD04C2" w:rsidRDefault="00BD04C2" w:rsidP="00E0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9,250 tons</w:t>
            </w:r>
          </w:p>
        </w:tc>
      </w:tr>
      <w:tr w:rsidR="00DA4C2D" w:rsidRPr="00BD04C2" w14:paraId="77F096B2" w14:textId="77777777" w:rsidTr="00E0217E">
        <w:tc>
          <w:tcPr>
            <w:tcW w:w="3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0ECF0" w14:textId="77777777" w:rsidR="00DA4C2D" w:rsidRPr="00BD04C2" w:rsidRDefault="00BD04C2" w:rsidP="00FA67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Purchasing output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E8D54" w14:textId="77777777" w:rsidR="00DA4C2D" w:rsidRPr="00BD04C2" w:rsidRDefault="00BD04C2" w:rsidP="00E0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1,200 tons</w:t>
            </w:r>
          </w:p>
        </w:tc>
      </w:tr>
      <w:tr w:rsidR="00DA4C2D" w:rsidRPr="00BD04C2" w14:paraId="3CA71E01" w14:textId="77777777" w:rsidTr="00E0217E">
        <w:tc>
          <w:tcPr>
            <w:tcW w:w="3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219EE" w14:textId="77777777" w:rsidR="00BD04C2" w:rsidRPr="00BD04C2" w:rsidRDefault="00BD04C2" w:rsidP="00FA67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Processing output: </w:t>
            </w:r>
          </w:p>
          <w:p w14:paraId="0E39B5A0" w14:textId="72E61C61" w:rsidR="00DA4C2D" w:rsidRPr="00BD04C2" w:rsidRDefault="00BD04C2" w:rsidP="00FA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(exploiting, purchasing</w:t>
            </w:r>
            <w:r w:rsidR="00E0217E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 xml:space="preserve"> and processing)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97FC2" w14:textId="77777777" w:rsidR="00DA4C2D" w:rsidRPr="00BD04C2" w:rsidRDefault="00BD04C2" w:rsidP="00E0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14,050 tons</w:t>
            </w:r>
          </w:p>
        </w:tc>
      </w:tr>
      <w:tr w:rsidR="00DA4C2D" w:rsidRPr="00BD04C2" w14:paraId="7B9837FF" w14:textId="77777777" w:rsidTr="00E0217E">
        <w:tc>
          <w:tcPr>
            <w:tcW w:w="3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6CEBF" w14:textId="77777777" w:rsidR="00DA4C2D" w:rsidRPr="00BD04C2" w:rsidRDefault="00BD04C2" w:rsidP="00FA67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Consumption: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6730B" w14:textId="77777777" w:rsidR="00DA4C2D" w:rsidRPr="00BD04C2" w:rsidRDefault="00BD04C2" w:rsidP="00E0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10,450 tons</w:t>
            </w:r>
          </w:p>
        </w:tc>
      </w:tr>
      <w:tr w:rsidR="00DA4C2D" w:rsidRPr="00BD04C2" w14:paraId="14D9C5A3" w14:textId="77777777" w:rsidTr="00E0217E">
        <w:tc>
          <w:tcPr>
            <w:tcW w:w="3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92B06" w14:textId="77777777" w:rsidR="00DA4C2D" w:rsidRPr="00BD04C2" w:rsidRDefault="00BD04C2" w:rsidP="00FA67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revenue: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4428D" w14:textId="77777777" w:rsidR="00DA4C2D" w:rsidRPr="00BD04C2" w:rsidRDefault="00BD04C2" w:rsidP="00E0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536 billion</w:t>
            </w:r>
          </w:p>
        </w:tc>
      </w:tr>
    </w:tbl>
    <w:p w14:paraId="017FAA5A" w14:textId="77777777" w:rsidR="00DA4C2D" w:rsidRPr="00BD04C2" w:rsidRDefault="00BD04C2" w:rsidP="00FA67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Of which, revenue from compensation and liquidation of gardens due to land recovery from the high-tech agricultural project in </w:t>
      </w:r>
      <w:proofErr w:type="spellStart"/>
      <w:r>
        <w:rPr>
          <w:rFonts w:ascii="Arial" w:hAnsi="Arial"/>
          <w:color w:val="010000"/>
          <w:sz w:val="20"/>
        </w:rPr>
        <w:t>Xuan</w:t>
      </w:r>
      <w:proofErr w:type="spellEnd"/>
      <w:r>
        <w:rPr>
          <w:rFonts w:ascii="Arial" w:hAnsi="Arial"/>
          <w:color w:val="010000"/>
          <w:sz w:val="20"/>
        </w:rPr>
        <w:t xml:space="preserve"> Son Commune is VND 50.5 billion.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7077"/>
        <w:gridCol w:w="1950"/>
      </w:tblGrid>
      <w:tr w:rsidR="00DA4C2D" w:rsidRPr="00BD04C2" w14:paraId="1E2A53B1" w14:textId="77777777" w:rsidTr="00BD04C2">
        <w:tc>
          <w:tcPr>
            <w:tcW w:w="3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6F1A6" w14:textId="77777777" w:rsidR="00DA4C2D" w:rsidRPr="00BD04C2" w:rsidRDefault="00BD04C2" w:rsidP="00FA67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tax: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13491" w14:textId="77777777" w:rsidR="00DA4C2D" w:rsidRPr="00BD04C2" w:rsidRDefault="00BD04C2" w:rsidP="00FA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153.79 billion</w:t>
            </w:r>
          </w:p>
        </w:tc>
      </w:tr>
    </w:tbl>
    <w:p w14:paraId="58D96130" w14:textId="00DBA602" w:rsidR="00DA4C2D" w:rsidRPr="00BD04C2" w:rsidRDefault="00BD04C2" w:rsidP="00FA67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Of which, </w:t>
      </w:r>
      <w:r w:rsidR="00E0217E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 xml:space="preserve">profit from compensation and liquidation of gardens due to land recovery from the high-tech agricultural project in </w:t>
      </w:r>
      <w:proofErr w:type="spellStart"/>
      <w:r>
        <w:rPr>
          <w:rFonts w:ascii="Arial" w:hAnsi="Arial"/>
          <w:color w:val="010000"/>
          <w:sz w:val="20"/>
        </w:rPr>
        <w:t>Xuan</w:t>
      </w:r>
      <w:proofErr w:type="spellEnd"/>
      <w:r>
        <w:rPr>
          <w:rFonts w:ascii="Arial" w:hAnsi="Arial"/>
          <w:color w:val="010000"/>
          <w:sz w:val="20"/>
        </w:rPr>
        <w:t xml:space="preserve"> Son Commune is VND 33.68 billion.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7077"/>
        <w:gridCol w:w="1950"/>
      </w:tblGrid>
      <w:tr w:rsidR="00DA4C2D" w:rsidRPr="00BD04C2" w14:paraId="502EE0AB" w14:textId="77777777" w:rsidTr="00BD04C2">
        <w:tc>
          <w:tcPr>
            <w:tcW w:w="3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25341" w14:textId="77777777" w:rsidR="00DA4C2D" w:rsidRPr="00BD04C2" w:rsidRDefault="00BD04C2" w:rsidP="00FA67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tax: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0BA7C" w14:textId="77777777" w:rsidR="00DA4C2D" w:rsidRPr="00BD04C2" w:rsidRDefault="00BD04C2" w:rsidP="00FA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136.18 billion</w:t>
            </w:r>
          </w:p>
        </w:tc>
      </w:tr>
      <w:tr w:rsidR="00DA4C2D" w:rsidRPr="00BD04C2" w14:paraId="74B3E0D7" w14:textId="77777777" w:rsidTr="00BD04C2">
        <w:tc>
          <w:tcPr>
            <w:tcW w:w="3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DCDBF" w14:textId="627B30DE" w:rsidR="00DA4C2D" w:rsidRPr="00BD04C2" w:rsidRDefault="00BD04C2" w:rsidP="00FA67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Payable to </w:t>
            </w:r>
            <w:r w:rsidR="00E0217E">
              <w:rPr>
                <w:rFonts w:ascii="Arial" w:hAnsi="Arial"/>
                <w:color w:val="010000"/>
                <w:sz w:val="20"/>
              </w:rPr>
              <w:t xml:space="preserve">the </w:t>
            </w:r>
            <w:r>
              <w:rPr>
                <w:rFonts w:ascii="Arial" w:hAnsi="Arial"/>
                <w:color w:val="010000"/>
                <w:sz w:val="20"/>
              </w:rPr>
              <w:t>State budget: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AF91E" w14:textId="77777777" w:rsidR="00DA4C2D" w:rsidRPr="00BD04C2" w:rsidRDefault="00BD04C2" w:rsidP="00FA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84 billion</w:t>
            </w:r>
          </w:p>
        </w:tc>
      </w:tr>
      <w:tr w:rsidR="00DA4C2D" w:rsidRPr="00BD04C2" w14:paraId="4E39ABDE" w14:textId="77777777" w:rsidTr="00BD04C2">
        <w:tc>
          <w:tcPr>
            <w:tcW w:w="3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59C5B" w14:textId="77777777" w:rsidR="00DA4C2D" w:rsidRPr="00BD04C2" w:rsidRDefault="00BD04C2" w:rsidP="00FA67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Minimum dividend payment rate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C1976" w14:textId="77777777" w:rsidR="00DA4C2D" w:rsidRPr="00BD04C2" w:rsidRDefault="00BD04C2" w:rsidP="00FA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5%</w:t>
            </w:r>
          </w:p>
        </w:tc>
      </w:tr>
    </w:tbl>
    <w:p w14:paraId="158341FC" w14:textId="67EBF74D" w:rsidR="00DA4C2D" w:rsidRPr="00BD04C2" w:rsidRDefault="00BD04C2" w:rsidP="00FA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Appropriation for development investment funds, </w:t>
      </w:r>
      <w:r w:rsidR="00E0217E">
        <w:rPr>
          <w:rFonts w:ascii="Arial" w:hAnsi="Arial"/>
          <w:color w:val="010000"/>
          <w:sz w:val="20"/>
        </w:rPr>
        <w:t>bonuses</w:t>
      </w:r>
      <w:r>
        <w:rPr>
          <w:rFonts w:ascii="Arial" w:hAnsi="Arial"/>
          <w:color w:val="010000"/>
          <w:sz w:val="20"/>
        </w:rPr>
        <w:t xml:space="preserve">, welfare for </w:t>
      </w:r>
      <w:r w:rsidR="00E0217E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>executive management board after the business results in 2024</w:t>
      </w:r>
      <w:r w:rsidR="00E0217E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and the agreement with Vietnam Rubber Group - Joint Stock Company.</w:t>
      </w:r>
    </w:p>
    <w:p w14:paraId="67872E52" w14:textId="32EED688" w:rsidR="00DA4C2D" w:rsidRPr="00BD04C2" w:rsidRDefault="00BD04C2" w:rsidP="00FA67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Authorize the Board of Directors of the Company to adjust the production, business</w:t>
      </w:r>
      <w:r w:rsidR="00E0217E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and development investment plan for 2024 (if any) </w:t>
      </w:r>
      <w:r w:rsidR="00E0217E">
        <w:rPr>
          <w:rFonts w:ascii="Arial" w:hAnsi="Arial"/>
          <w:color w:val="010000"/>
          <w:sz w:val="20"/>
        </w:rPr>
        <w:t>following</w:t>
      </w:r>
      <w:r>
        <w:rPr>
          <w:rFonts w:ascii="Arial" w:hAnsi="Arial"/>
          <w:color w:val="010000"/>
          <w:sz w:val="20"/>
        </w:rPr>
        <w:t xml:space="preserve"> the actual situation, ensuring the highest efficiency for the Company and shareholders. The adjustment was made after the agreement of Vietnam Rubber Group - Joint Stock Company.</w:t>
      </w:r>
    </w:p>
    <w:p w14:paraId="4808EE75" w14:textId="77777777" w:rsidR="00DA4C2D" w:rsidRPr="00BD04C2" w:rsidRDefault="00BD04C2" w:rsidP="00FA67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specific profit distribution will be submitted to the General Meeting of Shareholders 2024 for decision after the Audited Financial Statements 2024 are available.</w:t>
      </w:r>
    </w:p>
    <w:p w14:paraId="19B0E336" w14:textId="77777777" w:rsidR="00DA4C2D" w:rsidRPr="00BD04C2" w:rsidRDefault="00BD04C2" w:rsidP="00FA67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4: Approve Reports and Proposals:</w:t>
      </w:r>
    </w:p>
    <w:p w14:paraId="320946E4" w14:textId="0FA8E684" w:rsidR="00DA4C2D" w:rsidRPr="00BD04C2" w:rsidRDefault="00BD04C2" w:rsidP="00FA67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Pay salaries and remunerations for the Board of Directors, the Executive Board</w:t>
      </w:r>
      <w:r w:rsidR="00E0217E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and the </w:t>
      </w:r>
      <w:r>
        <w:rPr>
          <w:rFonts w:ascii="Arial" w:hAnsi="Arial"/>
          <w:color w:val="010000"/>
          <w:sz w:val="20"/>
        </w:rPr>
        <w:lastRenderedPageBreak/>
        <w:t>Supervisory Board according to Report No. 312/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-HDQT dated April 24, 2024. In which:</w:t>
      </w:r>
    </w:p>
    <w:p w14:paraId="28F15C1E" w14:textId="77777777" w:rsidR="00DA4C2D" w:rsidRPr="00BD04C2" w:rsidRDefault="00BD04C2" w:rsidP="00FA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2023, it is VND 5,489 billion.</w:t>
      </w:r>
    </w:p>
    <w:p w14:paraId="4E67A2B8" w14:textId="1BDDD1E3" w:rsidR="00DA4C2D" w:rsidRPr="00BD04C2" w:rsidRDefault="00BD04C2" w:rsidP="00FA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payment plan for independent members of the Board of Directors in 2024 is VND 5 million/person/month, </w:t>
      </w:r>
      <w:r w:rsidR="00E0217E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 xml:space="preserve">payment plan for executive members of the Supervisory Board is VND 2 million/person/month, and the salary of remaining managers are paid according to general regulations. Remuneration and salaries of the Board of Directors, the Supervisory Board, and the Executive Board in 2024 </w:t>
      </w:r>
      <w:r w:rsidR="00E0217E">
        <w:rPr>
          <w:rFonts w:ascii="Arial" w:hAnsi="Arial"/>
          <w:color w:val="010000"/>
          <w:sz w:val="20"/>
        </w:rPr>
        <w:t>will be</w:t>
      </w:r>
      <w:r>
        <w:rPr>
          <w:rFonts w:ascii="Arial" w:hAnsi="Arial"/>
          <w:color w:val="010000"/>
          <w:sz w:val="20"/>
        </w:rPr>
        <w:t xml:space="preserve"> paid after the approval of Vietnam Rubber Group - Joint Stock Company for the Salary Fund.</w:t>
      </w:r>
    </w:p>
    <w:p w14:paraId="78DA530B" w14:textId="77777777" w:rsidR="00DA4C2D" w:rsidRPr="00BD04C2" w:rsidRDefault="00BD04C2" w:rsidP="00FA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Operation expenses according to general regulations of the Company.</w:t>
      </w:r>
    </w:p>
    <w:p w14:paraId="6AB0C3E8" w14:textId="77777777" w:rsidR="00DA4C2D" w:rsidRPr="00BD04C2" w:rsidRDefault="00BD04C2" w:rsidP="00FA67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Authorize the Board of Directors of the Company to select an Audit Company for the Financial Statements 2024 according to Proposal No. 314/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-BKS dated April 24, 2024. Select one of the following three companies:</w:t>
      </w:r>
    </w:p>
    <w:p w14:paraId="1A587F50" w14:textId="77777777" w:rsidR="00DA4C2D" w:rsidRPr="00BD04C2" w:rsidRDefault="00BD04C2" w:rsidP="00FA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BDO Audit Services Company Limited</w:t>
      </w:r>
    </w:p>
    <w:p w14:paraId="5018E658" w14:textId="77777777" w:rsidR="00DA4C2D" w:rsidRPr="00BD04C2" w:rsidRDefault="00BD04C2" w:rsidP="00FA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International Auditing and Valuation Company Limited;</w:t>
      </w:r>
    </w:p>
    <w:p w14:paraId="6649A658" w14:textId="77777777" w:rsidR="00DA4C2D" w:rsidRPr="00BD04C2" w:rsidRDefault="00BD04C2" w:rsidP="00FA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ASCO Firm Auditing And Valuation Company Limited</w:t>
      </w:r>
    </w:p>
    <w:p w14:paraId="327F58C8" w14:textId="27C9A1B8" w:rsidR="00DA4C2D" w:rsidRPr="00BD04C2" w:rsidRDefault="00BD04C2" w:rsidP="00FA67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5: This General Mandate was approved by the General Meeting of Shareholders of </w:t>
      </w:r>
      <w:proofErr w:type="spellStart"/>
      <w:r>
        <w:rPr>
          <w:rFonts w:ascii="Arial" w:hAnsi="Arial"/>
          <w:color w:val="010000"/>
          <w:sz w:val="20"/>
        </w:rPr>
        <w:t>BaRia</w:t>
      </w:r>
      <w:proofErr w:type="spellEnd"/>
      <w:r>
        <w:rPr>
          <w:rFonts w:ascii="Arial" w:hAnsi="Arial"/>
          <w:color w:val="010000"/>
          <w:sz w:val="20"/>
        </w:rPr>
        <w:t xml:space="preserve"> Rubber Joint Stock Company at the Annual General Meeting of Shareholders held on April 26, 2024. Members of the Board of Directors, the Supervisory Board, the General Manager, shareholders</w:t>
      </w:r>
      <w:r w:rsidR="00E0217E">
        <w:rPr>
          <w:rFonts w:ascii="Arial" w:hAnsi="Arial"/>
          <w:color w:val="010000"/>
          <w:sz w:val="20"/>
        </w:rPr>
        <w:t>,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and relevant organizations and individuals are responsible for implementing this General Mandate./. </w:t>
      </w:r>
    </w:p>
    <w:sectPr w:rsidR="00DA4C2D" w:rsidRPr="00BD04C2" w:rsidSect="00BD04C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0BF9"/>
    <w:multiLevelType w:val="multilevel"/>
    <w:tmpl w:val="47D07232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>
    <w:nsid w:val="1EAE242F"/>
    <w:multiLevelType w:val="multilevel"/>
    <w:tmpl w:val="B2387E8A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>
    <w:nsid w:val="21BE2184"/>
    <w:multiLevelType w:val="multilevel"/>
    <w:tmpl w:val="CC800544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>
    <w:nsid w:val="3FC80D3B"/>
    <w:multiLevelType w:val="multilevel"/>
    <w:tmpl w:val="B1D854C0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>
    <w:nsid w:val="5CF578BE"/>
    <w:multiLevelType w:val="multilevel"/>
    <w:tmpl w:val="DAFA272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D1C2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9B75FBB"/>
    <w:multiLevelType w:val="multilevel"/>
    <w:tmpl w:val="BA2CCD4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D1C2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6E4545B"/>
    <w:multiLevelType w:val="multilevel"/>
    <w:tmpl w:val="D104456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D1C2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2D"/>
    <w:rsid w:val="00BD04C2"/>
    <w:rsid w:val="00C43A5E"/>
    <w:rsid w:val="00DA4C2D"/>
    <w:rsid w:val="00E0217E"/>
    <w:rsid w:val="00F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8B1FB"/>
  <w15:docId w15:val="{7234E216-BA3F-457E-890D-54097422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C21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C21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C21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C21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400"/>
    </w:pPr>
    <w:rPr>
      <w:rFonts w:ascii="Times New Roman" w:eastAsia="Times New Roman" w:hAnsi="Times New Roman" w:cs="Times New Roman"/>
      <w:color w:val="1D1C21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300" w:lineRule="auto"/>
      <w:ind w:firstLine="290"/>
      <w:jc w:val="center"/>
      <w:outlineLvl w:val="0"/>
    </w:pPr>
    <w:rPr>
      <w:rFonts w:ascii="Times New Roman" w:eastAsia="Times New Roman" w:hAnsi="Times New Roman" w:cs="Times New Roman"/>
      <w:b/>
      <w:bCs/>
      <w:color w:val="1D1C21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pacing w:line="300" w:lineRule="auto"/>
      <w:ind w:firstLine="260"/>
    </w:pPr>
    <w:rPr>
      <w:rFonts w:ascii="Times New Roman" w:eastAsia="Times New Roman" w:hAnsi="Times New Roman" w:cs="Times New Roman"/>
      <w:color w:val="1D1C21"/>
      <w:sz w:val="22"/>
      <w:szCs w:val="22"/>
    </w:rPr>
  </w:style>
  <w:style w:type="paragraph" w:customStyle="1" w:styleId="Other0">
    <w:name w:val="Other"/>
    <w:basedOn w:val="Normal"/>
    <w:link w:val="Other"/>
    <w:pPr>
      <w:spacing w:line="300" w:lineRule="auto"/>
      <w:ind w:firstLine="400"/>
    </w:pPr>
    <w:rPr>
      <w:rFonts w:ascii="Times New Roman" w:eastAsia="Times New Roman" w:hAnsi="Times New Roman" w:cs="Times New Roman"/>
      <w:color w:val="1D1C21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+kODoJ0OZgl0LOAyIcuQMMGynA==">CgMxLjA4AHIhMVdWV2dJSlo1V2M2U2RMY1BZalZDa0Y2cGRTX2FOY2E4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872</Words>
  <Characters>4662</Characters>
  <Application>Microsoft Office Word</Application>
  <DocSecurity>0</DocSecurity>
  <Lines>101</Lines>
  <Paragraphs>69</Paragraphs>
  <ScaleCrop>false</ScaleCrop>
  <Company>Microsoft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Thi Quynh Trang</cp:lastModifiedBy>
  <cp:revision>5</cp:revision>
  <dcterms:created xsi:type="dcterms:W3CDTF">2024-05-07T03:56:00Z</dcterms:created>
  <dcterms:modified xsi:type="dcterms:W3CDTF">2024-05-08T08:41:00Z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a7829e35dda77e9be1148e26f15552d4353857461d5f57b8df5bbd8efc05becc</vt:lpwstr>
  </property>
</Properties>
</file>