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64B86" w14:textId="77777777" w:rsidR="00F16AB1" w:rsidRDefault="0030640C" w:rsidP="00832A9E">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bCs/>
          <w:color w:val="010000"/>
          <w:sz w:val="20"/>
        </w:rPr>
        <w:t>C69:</w:t>
      </w:r>
      <w:r>
        <w:rPr>
          <w:rFonts w:ascii="Arial" w:hAnsi="Arial"/>
          <w:b/>
          <w:color w:val="010000"/>
          <w:sz w:val="20"/>
        </w:rPr>
        <w:t xml:space="preserve"> Annual General Mandate 2024</w:t>
      </w:r>
    </w:p>
    <w:p w14:paraId="064C3B29" w14:textId="77777777" w:rsidR="00F16AB1" w:rsidRDefault="0030640C" w:rsidP="00832A9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On April 27, 2024, 1369 Construction Joint Stock Company announced General Mandate No. 01/2024/NQ-DHDCD.C69 as follows:</w:t>
      </w:r>
    </w:p>
    <w:p w14:paraId="35864174" w14:textId="77777777" w:rsidR="00F16AB1" w:rsidRDefault="0030640C" w:rsidP="00832A9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 The 2024 Annual General Meeting of Shareholders of 1369 Construction Joint Stock Company approved the following contents:</w:t>
      </w:r>
    </w:p>
    <w:p w14:paraId="7A89C366" w14:textId="77777777" w:rsidR="00F16AB1" w:rsidRDefault="0030640C" w:rsidP="00832A9E">
      <w:pPr>
        <w:numPr>
          <w:ilvl w:val="0"/>
          <w:numId w:val="3"/>
        </w:numPr>
        <w:pBdr>
          <w:top w:val="nil"/>
          <w:left w:val="nil"/>
          <w:bottom w:val="nil"/>
          <w:right w:val="nil"/>
          <w:between w:val="nil"/>
        </w:pBdr>
        <w:tabs>
          <w:tab w:val="left" w:pos="689"/>
        </w:tabs>
        <w:spacing w:after="120" w:line="360" w:lineRule="auto"/>
        <w:jc w:val="both"/>
        <w:rPr>
          <w:rFonts w:ascii="Arial" w:eastAsia="Arial" w:hAnsi="Arial" w:cs="Arial"/>
          <w:color w:val="010000"/>
          <w:sz w:val="20"/>
          <w:szCs w:val="20"/>
        </w:rPr>
      </w:pPr>
      <w:r>
        <w:rPr>
          <w:rFonts w:ascii="Arial" w:hAnsi="Arial"/>
          <w:color w:val="010000"/>
          <w:sz w:val="20"/>
        </w:rPr>
        <w:t>Report of the Board of Directors for 2023. Operating plan and orientation for 2024;</w:t>
      </w:r>
    </w:p>
    <w:p w14:paraId="121A0C1B" w14:textId="77777777" w:rsidR="00F16AB1" w:rsidRDefault="0030640C" w:rsidP="00832A9E">
      <w:pPr>
        <w:numPr>
          <w:ilvl w:val="0"/>
          <w:numId w:val="3"/>
        </w:numPr>
        <w:pBdr>
          <w:top w:val="nil"/>
          <w:left w:val="nil"/>
          <w:bottom w:val="nil"/>
          <w:right w:val="nil"/>
          <w:between w:val="nil"/>
        </w:pBdr>
        <w:tabs>
          <w:tab w:val="left" w:pos="689"/>
        </w:tabs>
        <w:spacing w:after="120" w:line="360" w:lineRule="auto"/>
        <w:jc w:val="both"/>
        <w:rPr>
          <w:rFonts w:ascii="Arial" w:eastAsia="Arial" w:hAnsi="Arial" w:cs="Arial"/>
          <w:color w:val="010000"/>
          <w:sz w:val="20"/>
          <w:szCs w:val="20"/>
        </w:rPr>
      </w:pPr>
      <w:r>
        <w:rPr>
          <w:rFonts w:ascii="Arial" w:hAnsi="Arial"/>
          <w:color w:val="010000"/>
          <w:sz w:val="20"/>
        </w:rPr>
        <w:t>Report of the Board of Management on the production - business result of 2023 and the production and business plan for 2024;</w:t>
      </w:r>
    </w:p>
    <w:p w14:paraId="0C4F1897" w14:textId="77777777" w:rsidR="00F16AB1" w:rsidRDefault="0030640C">
      <w:pPr>
        <w:pBdr>
          <w:top w:val="nil"/>
          <w:left w:val="nil"/>
          <w:bottom w:val="nil"/>
          <w:right w:val="nil"/>
          <w:between w:val="nil"/>
        </w:pBdr>
        <w:tabs>
          <w:tab w:val="left" w:pos="710"/>
        </w:tabs>
        <w:spacing w:after="120" w:line="360" w:lineRule="auto"/>
        <w:rPr>
          <w:rFonts w:ascii="Arial" w:eastAsia="Arial" w:hAnsi="Arial" w:cs="Arial"/>
          <w:color w:val="010000"/>
          <w:sz w:val="20"/>
          <w:szCs w:val="20"/>
        </w:rPr>
      </w:pPr>
      <w:bookmarkStart w:id="0" w:name="_heading=h.gjdgxs"/>
      <w:bookmarkEnd w:id="0"/>
      <w:r>
        <w:rPr>
          <w:rFonts w:ascii="Arial" w:hAnsi="Arial"/>
          <w:color w:val="010000"/>
          <w:sz w:val="20"/>
        </w:rPr>
        <w:t>Production - business result in 2023.</w:t>
      </w:r>
    </w:p>
    <w:p w14:paraId="516F15D9" w14:textId="77777777" w:rsidR="00F16AB1" w:rsidRDefault="0030640C">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Unit: Million VND</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5"/>
        <w:gridCol w:w="1405"/>
        <w:gridCol w:w="1255"/>
        <w:gridCol w:w="1311"/>
        <w:gridCol w:w="1179"/>
        <w:gridCol w:w="1472"/>
      </w:tblGrid>
      <w:tr w:rsidR="00F16AB1" w14:paraId="2DAE0865" w14:textId="77777777">
        <w:tc>
          <w:tcPr>
            <w:tcW w:w="2395" w:type="dxa"/>
            <w:shd w:val="clear" w:color="auto" w:fill="auto"/>
            <w:tcMar>
              <w:top w:w="0" w:type="dxa"/>
              <w:bottom w:w="0" w:type="dxa"/>
            </w:tcMar>
            <w:vAlign w:val="center"/>
          </w:tcPr>
          <w:p w14:paraId="2DA5FA21" w14:textId="77777777" w:rsidR="00F16AB1" w:rsidRDefault="0030640C">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Target</w:t>
            </w:r>
          </w:p>
        </w:tc>
        <w:tc>
          <w:tcPr>
            <w:tcW w:w="1405" w:type="dxa"/>
            <w:shd w:val="clear" w:color="auto" w:fill="auto"/>
            <w:tcMar>
              <w:top w:w="0" w:type="dxa"/>
              <w:bottom w:w="0" w:type="dxa"/>
            </w:tcMar>
            <w:vAlign w:val="center"/>
          </w:tcPr>
          <w:p w14:paraId="537984BA" w14:textId="2E5AF2DE" w:rsidR="00F16AB1" w:rsidRDefault="0030640C">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Results</w:t>
            </w:r>
            <w:r w:rsidR="00073592">
              <w:rPr>
                <w:rFonts w:ascii="Arial" w:hAnsi="Arial"/>
                <w:color w:val="010000"/>
                <w:sz w:val="20"/>
              </w:rPr>
              <w:t xml:space="preserve"> 2022</w:t>
            </w:r>
          </w:p>
        </w:tc>
        <w:tc>
          <w:tcPr>
            <w:tcW w:w="1255" w:type="dxa"/>
            <w:shd w:val="clear" w:color="auto" w:fill="auto"/>
            <w:tcMar>
              <w:top w:w="0" w:type="dxa"/>
              <w:bottom w:w="0" w:type="dxa"/>
            </w:tcMar>
            <w:vAlign w:val="center"/>
          </w:tcPr>
          <w:p w14:paraId="77E5AB02" w14:textId="71F8B517" w:rsidR="00F16AB1" w:rsidRDefault="0030640C">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Plan</w:t>
            </w:r>
            <w:r w:rsidR="00073592">
              <w:rPr>
                <w:rFonts w:ascii="Arial" w:hAnsi="Arial"/>
                <w:color w:val="010000"/>
                <w:sz w:val="20"/>
              </w:rPr>
              <w:t xml:space="preserve"> 2023</w:t>
            </w:r>
          </w:p>
        </w:tc>
        <w:tc>
          <w:tcPr>
            <w:tcW w:w="1311" w:type="dxa"/>
            <w:shd w:val="clear" w:color="auto" w:fill="auto"/>
            <w:tcMar>
              <w:top w:w="0" w:type="dxa"/>
              <w:bottom w:w="0" w:type="dxa"/>
            </w:tcMar>
            <w:vAlign w:val="center"/>
          </w:tcPr>
          <w:p w14:paraId="40DE6AF5" w14:textId="1199705D" w:rsidR="00F16AB1" w:rsidRDefault="0030640C">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Results</w:t>
            </w:r>
            <w:r w:rsidR="00073592">
              <w:rPr>
                <w:rFonts w:ascii="Arial" w:hAnsi="Arial"/>
                <w:color w:val="010000"/>
                <w:sz w:val="20"/>
              </w:rPr>
              <w:t xml:space="preserve"> 2023</w:t>
            </w:r>
          </w:p>
        </w:tc>
        <w:tc>
          <w:tcPr>
            <w:tcW w:w="1179" w:type="dxa"/>
            <w:shd w:val="clear" w:color="auto" w:fill="auto"/>
            <w:tcMar>
              <w:top w:w="0" w:type="dxa"/>
              <w:bottom w:w="0" w:type="dxa"/>
            </w:tcMar>
            <w:vAlign w:val="center"/>
          </w:tcPr>
          <w:p w14:paraId="2FB9FCF7" w14:textId="1C46AD09" w:rsidR="00F16AB1" w:rsidRDefault="007D7C6B">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Results/plan</w:t>
            </w:r>
          </w:p>
        </w:tc>
        <w:tc>
          <w:tcPr>
            <w:tcW w:w="1472" w:type="dxa"/>
            <w:shd w:val="clear" w:color="auto" w:fill="auto"/>
            <w:tcMar>
              <w:top w:w="0" w:type="dxa"/>
              <w:bottom w:w="0" w:type="dxa"/>
            </w:tcMar>
            <w:vAlign w:val="center"/>
          </w:tcPr>
          <w:p w14:paraId="0D2A5FE8" w14:textId="77777777" w:rsidR="00F16AB1" w:rsidRDefault="0030640C">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Growth rate 2023/2022</w:t>
            </w:r>
          </w:p>
        </w:tc>
      </w:tr>
      <w:tr w:rsidR="00F16AB1" w14:paraId="20552DBC" w14:textId="77777777">
        <w:tc>
          <w:tcPr>
            <w:tcW w:w="2395" w:type="dxa"/>
            <w:shd w:val="clear" w:color="auto" w:fill="auto"/>
            <w:tcMar>
              <w:top w:w="0" w:type="dxa"/>
              <w:bottom w:w="0" w:type="dxa"/>
            </w:tcMar>
            <w:vAlign w:val="center"/>
          </w:tcPr>
          <w:p w14:paraId="0884DE9D" w14:textId="77777777" w:rsidR="00F16AB1" w:rsidRDefault="0030640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Consolidated revenue</w:t>
            </w:r>
          </w:p>
        </w:tc>
        <w:tc>
          <w:tcPr>
            <w:tcW w:w="1405" w:type="dxa"/>
            <w:shd w:val="clear" w:color="auto" w:fill="auto"/>
            <w:tcMar>
              <w:top w:w="0" w:type="dxa"/>
              <w:bottom w:w="0" w:type="dxa"/>
            </w:tcMar>
            <w:vAlign w:val="center"/>
          </w:tcPr>
          <w:p w14:paraId="6C5CF14B" w14:textId="77777777" w:rsidR="00F16AB1" w:rsidRDefault="0030640C">
            <w:pPr>
              <w:pBdr>
                <w:top w:val="nil"/>
                <w:left w:val="nil"/>
                <w:bottom w:val="nil"/>
                <w:right w:val="nil"/>
                <w:between w:val="nil"/>
              </w:pBdr>
              <w:spacing w:after="120" w:line="360" w:lineRule="auto"/>
              <w:ind w:right="112"/>
              <w:jc w:val="right"/>
              <w:rPr>
                <w:rFonts w:ascii="Arial" w:eastAsia="Arial" w:hAnsi="Arial" w:cs="Arial"/>
                <w:color w:val="010000"/>
                <w:sz w:val="20"/>
                <w:szCs w:val="20"/>
              </w:rPr>
            </w:pPr>
            <w:r>
              <w:rPr>
                <w:rFonts w:ascii="Arial" w:hAnsi="Arial"/>
                <w:color w:val="010000"/>
                <w:sz w:val="20"/>
              </w:rPr>
              <w:t>1,047,869</w:t>
            </w:r>
          </w:p>
        </w:tc>
        <w:tc>
          <w:tcPr>
            <w:tcW w:w="1255" w:type="dxa"/>
            <w:shd w:val="clear" w:color="auto" w:fill="auto"/>
            <w:tcMar>
              <w:top w:w="0" w:type="dxa"/>
              <w:bottom w:w="0" w:type="dxa"/>
            </w:tcMar>
            <w:vAlign w:val="center"/>
          </w:tcPr>
          <w:p w14:paraId="44A1B64B" w14:textId="77777777" w:rsidR="00F16AB1" w:rsidRDefault="0030640C">
            <w:pPr>
              <w:pBdr>
                <w:top w:val="nil"/>
                <w:left w:val="nil"/>
                <w:bottom w:val="nil"/>
                <w:right w:val="nil"/>
                <w:between w:val="nil"/>
              </w:pBdr>
              <w:spacing w:after="120" w:line="360" w:lineRule="auto"/>
              <w:ind w:right="112"/>
              <w:jc w:val="right"/>
              <w:rPr>
                <w:rFonts w:ascii="Arial" w:eastAsia="Arial" w:hAnsi="Arial" w:cs="Arial"/>
                <w:color w:val="010000"/>
                <w:sz w:val="20"/>
                <w:szCs w:val="20"/>
              </w:rPr>
            </w:pPr>
            <w:r>
              <w:rPr>
                <w:rFonts w:ascii="Arial" w:hAnsi="Arial"/>
                <w:color w:val="010000"/>
                <w:sz w:val="20"/>
              </w:rPr>
              <w:t>1,320,000</w:t>
            </w:r>
          </w:p>
        </w:tc>
        <w:tc>
          <w:tcPr>
            <w:tcW w:w="1311" w:type="dxa"/>
            <w:shd w:val="clear" w:color="auto" w:fill="auto"/>
            <w:tcMar>
              <w:top w:w="0" w:type="dxa"/>
              <w:bottom w:w="0" w:type="dxa"/>
            </w:tcMar>
            <w:vAlign w:val="center"/>
          </w:tcPr>
          <w:p w14:paraId="0ADB3264" w14:textId="77777777" w:rsidR="00F16AB1" w:rsidRDefault="0030640C">
            <w:pPr>
              <w:pBdr>
                <w:top w:val="nil"/>
                <w:left w:val="nil"/>
                <w:bottom w:val="nil"/>
                <w:right w:val="nil"/>
                <w:between w:val="nil"/>
              </w:pBdr>
              <w:spacing w:after="120" w:line="360" w:lineRule="auto"/>
              <w:ind w:right="112"/>
              <w:jc w:val="right"/>
              <w:rPr>
                <w:rFonts w:ascii="Arial" w:eastAsia="Arial" w:hAnsi="Arial" w:cs="Arial"/>
                <w:color w:val="010000"/>
                <w:sz w:val="20"/>
                <w:szCs w:val="20"/>
              </w:rPr>
            </w:pPr>
            <w:r>
              <w:rPr>
                <w:rFonts w:ascii="Arial" w:hAnsi="Arial"/>
                <w:color w:val="010000"/>
                <w:sz w:val="20"/>
              </w:rPr>
              <w:t>1,249,444</w:t>
            </w:r>
          </w:p>
        </w:tc>
        <w:tc>
          <w:tcPr>
            <w:tcW w:w="1179" w:type="dxa"/>
            <w:shd w:val="clear" w:color="auto" w:fill="auto"/>
            <w:tcMar>
              <w:top w:w="0" w:type="dxa"/>
              <w:bottom w:w="0" w:type="dxa"/>
            </w:tcMar>
            <w:vAlign w:val="center"/>
          </w:tcPr>
          <w:p w14:paraId="1628E353" w14:textId="77777777" w:rsidR="00F16AB1" w:rsidRDefault="0030640C">
            <w:pPr>
              <w:pBdr>
                <w:top w:val="nil"/>
                <w:left w:val="nil"/>
                <w:bottom w:val="nil"/>
                <w:right w:val="nil"/>
                <w:between w:val="nil"/>
              </w:pBdr>
              <w:spacing w:after="120" w:line="360" w:lineRule="auto"/>
              <w:ind w:right="112"/>
              <w:jc w:val="right"/>
              <w:rPr>
                <w:rFonts w:ascii="Arial" w:eastAsia="Arial" w:hAnsi="Arial" w:cs="Arial"/>
                <w:color w:val="010000"/>
                <w:sz w:val="20"/>
                <w:szCs w:val="20"/>
              </w:rPr>
            </w:pPr>
            <w:r>
              <w:rPr>
                <w:rFonts w:ascii="Arial" w:hAnsi="Arial"/>
                <w:color w:val="010000"/>
                <w:sz w:val="20"/>
              </w:rPr>
              <w:t>94.6%</w:t>
            </w:r>
          </w:p>
        </w:tc>
        <w:tc>
          <w:tcPr>
            <w:tcW w:w="1472" w:type="dxa"/>
            <w:shd w:val="clear" w:color="auto" w:fill="auto"/>
            <w:tcMar>
              <w:top w:w="0" w:type="dxa"/>
              <w:bottom w:w="0" w:type="dxa"/>
            </w:tcMar>
            <w:vAlign w:val="center"/>
          </w:tcPr>
          <w:p w14:paraId="39A59516" w14:textId="77777777" w:rsidR="00F16AB1" w:rsidRDefault="0030640C">
            <w:pPr>
              <w:pBdr>
                <w:top w:val="nil"/>
                <w:left w:val="nil"/>
                <w:bottom w:val="nil"/>
                <w:right w:val="nil"/>
                <w:between w:val="nil"/>
              </w:pBdr>
              <w:spacing w:after="120" w:line="360" w:lineRule="auto"/>
              <w:ind w:right="112"/>
              <w:jc w:val="right"/>
              <w:rPr>
                <w:rFonts w:ascii="Arial" w:eastAsia="Arial" w:hAnsi="Arial" w:cs="Arial"/>
                <w:color w:val="010000"/>
                <w:sz w:val="20"/>
                <w:szCs w:val="20"/>
              </w:rPr>
            </w:pPr>
            <w:r>
              <w:rPr>
                <w:rFonts w:ascii="Arial" w:hAnsi="Arial"/>
                <w:color w:val="010000"/>
                <w:sz w:val="20"/>
              </w:rPr>
              <w:t>+ 19.2%</w:t>
            </w:r>
          </w:p>
        </w:tc>
      </w:tr>
      <w:tr w:rsidR="00F16AB1" w14:paraId="2D091D61" w14:textId="77777777">
        <w:tc>
          <w:tcPr>
            <w:tcW w:w="2395" w:type="dxa"/>
            <w:shd w:val="clear" w:color="auto" w:fill="auto"/>
            <w:tcMar>
              <w:top w:w="0" w:type="dxa"/>
              <w:bottom w:w="0" w:type="dxa"/>
            </w:tcMar>
            <w:vAlign w:val="center"/>
          </w:tcPr>
          <w:p w14:paraId="7EC8365F" w14:textId="77777777" w:rsidR="00F16AB1" w:rsidRDefault="0030640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Holding Company revenue</w:t>
            </w:r>
          </w:p>
        </w:tc>
        <w:tc>
          <w:tcPr>
            <w:tcW w:w="1405" w:type="dxa"/>
            <w:shd w:val="clear" w:color="auto" w:fill="auto"/>
            <w:tcMar>
              <w:top w:w="0" w:type="dxa"/>
              <w:bottom w:w="0" w:type="dxa"/>
            </w:tcMar>
            <w:vAlign w:val="center"/>
          </w:tcPr>
          <w:p w14:paraId="61DAD9BD" w14:textId="77777777" w:rsidR="00F16AB1" w:rsidRDefault="0030640C">
            <w:pPr>
              <w:pBdr>
                <w:top w:val="nil"/>
                <w:left w:val="nil"/>
                <w:bottom w:val="nil"/>
                <w:right w:val="nil"/>
                <w:between w:val="nil"/>
              </w:pBdr>
              <w:spacing w:after="120" w:line="360" w:lineRule="auto"/>
              <w:ind w:right="112"/>
              <w:jc w:val="right"/>
              <w:rPr>
                <w:rFonts w:ascii="Arial" w:eastAsia="Arial" w:hAnsi="Arial" w:cs="Arial"/>
                <w:color w:val="010000"/>
                <w:sz w:val="20"/>
                <w:szCs w:val="20"/>
              </w:rPr>
            </w:pPr>
            <w:r>
              <w:rPr>
                <w:rFonts w:ascii="Arial" w:hAnsi="Arial"/>
                <w:color w:val="010000"/>
                <w:sz w:val="20"/>
              </w:rPr>
              <w:t>410,242</w:t>
            </w:r>
          </w:p>
        </w:tc>
        <w:tc>
          <w:tcPr>
            <w:tcW w:w="1255" w:type="dxa"/>
            <w:shd w:val="clear" w:color="auto" w:fill="auto"/>
            <w:tcMar>
              <w:top w:w="0" w:type="dxa"/>
              <w:bottom w:w="0" w:type="dxa"/>
            </w:tcMar>
            <w:vAlign w:val="center"/>
          </w:tcPr>
          <w:p w14:paraId="23E011FC" w14:textId="77777777" w:rsidR="00F16AB1" w:rsidRDefault="0030640C">
            <w:pPr>
              <w:pBdr>
                <w:top w:val="nil"/>
                <w:left w:val="nil"/>
                <w:bottom w:val="nil"/>
                <w:right w:val="nil"/>
                <w:between w:val="nil"/>
              </w:pBdr>
              <w:spacing w:after="120" w:line="360" w:lineRule="auto"/>
              <w:ind w:right="112"/>
              <w:jc w:val="right"/>
              <w:rPr>
                <w:rFonts w:ascii="Arial" w:eastAsia="Arial" w:hAnsi="Arial" w:cs="Arial"/>
                <w:color w:val="010000"/>
                <w:sz w:val="20"/>
                <w:szCs w:val="20"/>
              </w:rPr>
            </w:pPr>
            <w:r>
              <w:rPr>
                <w:rFonts w:ascii="Arial" w:hAnsi="Arial"/>
                <w:color w:val="010000"/>
                <w:sz w:val="20"/>
              </w:rPr>
              <w:t>416,000</w:t>
            </w:r>
          </w:p>
        </w:tc>
        <w:tc>
          <w:tcPr>
            <w:tcW w:w="1311" w:type="dxa"/>
            <w:shd w:val="clear" w:color="auto" w:fill="auto"/>
            <w:tcMar>
              <w:top w:w="0" w:type="dxa"/>
              <w:bottom w:w="0" w:type="dxa"/>
            </w:tcMar>
            <w:vAlign w:val="center"/>
          </w:tcPr>
          <w:p w14:paraId="661EC0B8" w14:textId="77777777" w:rsidR="00F16AB1" w:rsidRDefault="0030640C">
            <w:pPr>
              <w:pBdr>
                <w:top w:val="nil"/>
                <w:left w:val="nil"/>
                <w:bottom w:val="nil"/>
                <w:right w:val="nil"/>
                <w:between w:val="nil"/>
              </w:pBdr>
              <w:spacing w:after="120" w:line="360" w:lineRule="auto"/>
              <w:ind w:right="112"/>
              <w:jc w:val="right"/>
              <w:rPr>
                <w:rFonts w:ascii="Arial" w:eastAsia="Arial" w:hAnsi="Arial" w:cs="Arial"/>
                <w:color w:val="010000"/>
                <w:sz w:val="20"/>
                <w:szCs w:val="20"/>
              </w:rPr>
            </w:pPr>
            <w:r>
              <w:rPr>
                <w:rFonts w:ascii="Arial" w:hAnsi="Arial"/>
                <w:color w:val="010000"/>
                <w:sz w:val="20"/>
              </w:rPr>
              <w:t>402,522</w:t>
            </w:r>
          </w:p>
        </w:tc>
        <w:tc>
          <w:tcPr>
            <w:tcW w:w="1179" w:type="dxa"/>
            <w:shd w:val="clear" w:color="auto" w:fill="auto"/>
            <w:tcMar>
              <w:top w:w="0" w:type="dxa"/>
              <w:bottom w:w="0" w:type="dxa"/>
            </w:tcMar>
            <w:vAlign w:val="center"/>
          </w:tcPr>
          <w:p w14:paraId="44D43A52" w14:textId="77777777" w:rsidR="00F16AB1" w:rsidRDefault="0030640C">
            <w:pPr>
              <w:pBdr>
                <w:top w:val="nil"/>
                <w:left w:val="nil"/>
                <w:bottom w:val="nil"/>
                <w:right w:val="nil"/>
                <w:between w:val="nil"/>
              </w:pBdr>
              <w:spacing w:after="120" w:line="360" w:lineRule="auto"/>
              <w:ind w:right="112"/>
              <w:jc w:val="right"/>
              <w:rPr>
                <w:rFonts w:ascii="Arial" w:eastAsia="Arial" w:hAnsi="Arial" w:cs="Arial"/>
                <w:color w:val="010000"/>
                <w:sz w:val="20"/>
                <w:szCs w:val="20"/>
              </w:rPr>
            </w:pPr>
            <w:r>
              <w:rPr>
                <w:rFonts w:ascii="Arial" w:hAnsi="Arial"/>
                <w:color w:val="010000"/>
                <w:sz w:val="20"/>
              </w:rPr>
              <w:t>96.8%</w:t>
            </w:r>
          </w:p>
        </w:tc>
        <w:tc>
          <w:tcPr>
            <w:tcW w:w="1472" w:type="dxa"/>
            <w:shd w:val="clear" w:color="auto" w:fill="auto"/>
            <w:tcMar>
              <w:top w:w="0" w:type="dxa"/>
              <w:bottom w:w="0" w:type="dxa"/>
            </w:tcMar>
            <w:vAlign w:val="center"/>
          </w:tcPr>
          <w:p w14:paraId="1CCE2FB6" w14:textId="77777777" w:rsidR="00F16AB1" w:rsidRDefault="0030640C">
            <w:pPr>
              <w:pBdr>
                <w:top w:val="nil"/>
                <w:left w:val="nil"/>
                <w:bottom w:val="nil"/>
                <w:right w:val="nil"/>
                <w:between w:val="nil"/>
              </w:pBdr>
              <w:spacing w:after="120" w:line="360" w:lineRule="auto"/>
              <w:ind w:right="112"/>
              <w:jc w:val="right"/>
              <w:rPr>
                <w:rFonts w:ascii="Arial" w:eastAsia="Arial" w:hAnsi="Arial" w:cs="Arial"/>
                <w:color w:val="010000"/>
                <w:sz w:val="20"/>
                <w:szCs w:val="20"/>
              </w:rPr>
            </w:pPr>
            <w:r>
              <w:rPr>
                <w:rFonts w:ascii="Arial" w:hAnsi="Arial"/>
                <w:color w:val="010000"/>
                <w:sz w:val="20"/>
              </w:rPr>
              <w:t>- 1.9%</w:t>
            </w:r>
          </w:p>
        </w:tc>
      </w:tr>
      <w:tr w:rsidR="00F16AB1" w14:paraId="284E2C65" w14:textId="77777777">
        <w:tc>
          <w:tcPr>
            <w:tcW w:w="2395" w:type="dxa"/>
            <w:shd w:val="clear" w:color="auto" w:fill="auto"/>
            <w:tcMar>
              <w:top w:w="0" w:type="dxa"/>
              <w:bottom w:w="0" w:type="dxa"/>
            </w:tcMar>
            <w:vAlign w:val="center"/>
          </w:tcPr>
          <w:p w14:paraId="51B8D7EC" w14:textId="77777777" w:rsidR="00F16AB1" w:rsidRDefault="0030640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consolidated profit after tax</w:t>
            </w:r>
          </w:p>
        </w:tc>
        <w:tc>
          <w:tcPr>
            <w:tcW w:w="1405" w:type="dxa"/>
            <w:shd w:val="clear" w:color="auto" w:fill="auto"/>
            <w:tcMar>
              <w:top w:w="0" w:type="dxa"/>
              <w:bottom w:w="0" w:type="dxa"/>
            </w:tcMar>
            <w:vAlign w:val="center"/>
          </w:tcPr>
          <w:p w14:paraId="3B404FBA" w14:textId="77777777" w:rsidR="00F16AB1" w:rsidRDefault="0030640C">
            <w:pPr>
              <w:pBdr>
                <w:top w:val="nil"/>
                <w:left w:val="nil"/>
                <w:bottom w:val="nil"/>
                <w:right w:val="nil"/>
                <w:between w:val="nil"/>
              </w:pBdr>
              <w:spacing w:after="120" w:line="360" w:lineRule="auto"/>
              <w:ind w:right="112"/>
              <w:jc w:val="right"/>
              <w:rPr>
                <w:rFonts w:ascii="Arial" w:eastAsia="Arial" w:hAnsi="Arial" w:cs="Arial"/>
                <w:color w:val="010000"/>
                <w:sz w:val="20"/>
                <w:szCs w:val="20"/>
              </w:rPr>
            </w:pPr>
            <w:r>
              <w:rPr>
                <w:rFonts w:ascii="Arial" w:hAnsi="Arial"/>
                <w:color w:val="010000"/>
                <w:sz w:val="20"/>
              </w:rPr>
              <w:t>28,447</w:t>
            </w:r>
          </w:p>
        </w:tc>
        <w:tc>
          <w:tcPr>
            <w:tcW w:w="1255" w:type="dxa"/>
            <w:shd w:val="clear" w:color="auto" w:fill="auto"/>
            <w:tcMar>
              <w:top w:w="0" w:type="dxa"/>
              <w:bottom w:w="0" w:type="dxa"/>
            </w:tcMar>
            <w:vAlign w:val="center"/>
          </w:tcPr>
          <w:p w14:paraId="2D3F67FD" w14:textId="77777777" w:rsidR="00F16AB1" w:rsidRDefault="0030640C">
            <w:pPr>
              <w:pBdr>
                <w:top w:val="nil"/>
                <w:left w:val="nil"/>
                <w:bottom w:val="nil"/>
                <w:right w:val="nil"/>
                <w:between w:val="nil"/>
              </w:pBdr>
              <w:spacing w:after="120" w:line="360" w:lineRule="auto"/>
              <w:ind w:right="112"/>
              <w:jc w:val="right"/>
              <w:rPr>
                <w:rFonts w:ascii="Arial" w:eastAsia="Arial" w:hAnsi="Arial" w:cs="Arial"/>
                <w:color w:val="010000"/>
                <w:sz w:val="20"/>
                <w:szCs w:val="20"/>
              </w:rPr>
            </w:pPr>
            <w:r>
              <w:rPr>
                <w:rFonts w:ascii="Arial" w:hAnsi="Arial"/>
                <w:color w:val="010000"/>
                <w:sz w:val="20"/>
              </w:rPr>
              <w:t>32,000</w:t>
            </w:r>
          </w:p>
        </w:tc>
        <w:tc>
          <w:tcPr>
            <w:tcW w:w="1311" w:type="dxa"/>
            <w:shd w:val="clear" w:color="auto" w:fill="auto"/>
            <w:tcMar>
              <w:top w:w="0" w:type="dxa"/>
              <w:bottom w:w="0" w:type="dxa"/>
            </w:tcMar>
            <w:vAlign w:val="center"/>
          </w:tcPr>
          <w:p w14:paraId="74853172" w14:textId="77777777" w:rsidR="00F16AB1" w:rsidRDefault="0030640C">
            <w:pPr>
              <w:pBdr>
                <w:top w:val="nil"/>
                <w:left w:val="nil"/>
                <w:bottom w:val="nil"/>
                <w:right w:val="nil"/>
                <w:between w:val="nil"/>
              </w:pBdr>
              <w:spacing w:after="120" w:line="360" w:lineRule="auto"/>
              <w:ind w:right="112"/>
              <w:jc w:val="right"/>
              <w:rPr>
                <w:rFonts w:ascii="Arial" w:eastAsia="Arial" w:hAnsi="Arial" w:cs="Arial"/>
                <w:color w:val="010000"/>
                <w:sz w:val="20"/>
                <w:szCs w:val="20"/>
              </w:rPr>
            </w:pPr>
            <w:r>
              <w:rPr>
                <w:rFonts w:ascii="Arial" w:hAnsi="Arial"/>
                <w:color w:val="010000"/>
                <w:sz w:val="20"/>
              </w:rPr>
              <w:t>10,913</w:t>
            </w:r>
          </w:p>
        </w:tc>
        <w:tc>
          <w:tcPr>
            <w:tcW w:w="1179" w:type="dxa"/>
            <w:shd w:val="clear" w:color="auto" w:fill="auto"/>
            <w:tcMar>
              <w:top w:w="0" w:type="dxa"/>
              <w:bottom w:w="0" w:type="dxa"/>
            </w:tcMar>
            <w:vAlign w:val="center"/>
          </w:tcPr>
          <w:p w14:paraId="34C6C8C4" w14:textId="77777777" w:rsidR="00F16AB1" w:rsidRDefault="0030640C">
            <w:pPr>
              <w:pBdr>
                <w:top w:val="nil"/>
                <w:left w:val="nil"/>
                <w:bottom w:val="nil"/>
                <w:right w:val="nil"/>
                <w:between w:val="nil"/>
              </w:pBdr>
              <w:spacing w:after="120" w:line="360" w:lineRule="auto"/>
              <w:ind w:right="112"/>
              <w:jc w:val="right"/>
              <w:rPr>
                <w:rFonts w:ascii="Arial" w:eastAsia="Arial" w:hAnsi="Arial" w:cs="Arial"/>
                <w:color w:val="010000"/>
                <w:sz w:val="20"/>
                <w:szCs w:val="20"/>
              </w:rPr>
            </w:pPr>
            <w:r>
              <w:rPr>
                <w:rFonts w:ascii="Arial" w:hAnsi="Arial"/>
                <w:color w:val="010000"/>
                <w:sz w:val="20"/>
              </w:rPr>
              <w:t>34.1%</w:t>
            </w:r>
          </w:p>
        </w:tc>
        <w:tc>
          <w:tcPr>
            <w:tcW w:w="1472" w:type="dxa"/>
            <w:shd w:val="clear" w:color="auto" w:fill="auto"/>
            <w:tcMar>
              <w:top w:w="0" w:type="dxa"/>
              <w:bottom w:w="0" w:type="dxa"/>
            </w:tcMar>
            <w:vAlign w:val="center"/>
          </w:tcPr>
          <w:p w14:paraId="4910E5D6" w14:textId="77777777" w:rsidR="00F16AB1" w:rsidRDefault="0030640C">
            <w:pPr>
              <w:pBdr>
                <w:top w:val="nil"/>
                <w:left w:val="nil"/>
                <w:bottom w:val="nil"/>
                <w:right w:val="nil"/>
                <w:between w:val="nil"/>
              </w:pBdr>
              <w:spacing w:after="120" w:line="360" w:lineRule="auto"/>
              <w:ind w:right="112"/>
              <w:jc w:val="right"/>
              <w:rPr>
                <w:rFonts w:ascii="Arial" w:eastAsia="Arial" w:hAnsi="Arial" w:cs="Arial"/>
                <w:color w:val="010000"/>
                <w:sz w:val="20"/>
                <w:szCs w:val="20"/>
              </w:rPr>
            </w:pPr>
            <w:r>
              <w:rPr>
                <w:rFonts w:ascii="Arial" w:hAnsi="Arial"/>
                <w:color w:val="010000"/>
                <w:sz w:val="20"/>
              </w:rPr>
              <w:t>-61.6%</w:t>
            </w:r>
          </w:p>
        </w:tc>
      </w:tr>
      <w:tr w:rsidR="00F16AB1" w14:paraId="48960767" w14:textId="77777777">
        <w:tc>
          <w:tcPr>
            <w:tcW w:w="2395" w:type="dxa"/>
            <w:shd w:val="clear" w:color="auto" w:fill="auto"/>
            <w:tcMar>
              <w:top w:w="0" w:type="dxa"/>
              <w:bottom w:w="0" w:type="dxa"/>
            </w:tcMar>
            <w:vAlign w:val="center"/>
          </w:tcPr>
          <w:p w14:paraId="5A09D683" w14:textId="77777777" w:rsidR="00F16AB1" w:rsidRDefault="0030640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Holding Company profit after tax</w:t>
            </w:r>
          </w:p>
        </w:tc>
        <w:tc>
          <w:tcPr>
            <w:tcW w:w="1405" w:type="dxa"/>
            <w:shd w:val="clear" w:color="auto" w:fill="auto"/>
            <w:tcMar>
              <w:top w:w="0" w:type="dxa"/>
              <w:bottom w:w="0" w:type="dxa"/>
            </w:tcMar>
            <w:vAlign w:val="center"/>
          </w:tcPr>
          <w:p w14:paraId="467745CB" w14:textId="77777777" w:rsidR="00F16AB1" w:rsidRDefault="0030640C">
            <w:pPr>
              <w:pBdr>
                <w:top w:val="nil"/>
                <w:left w:val="nil"/>
                <w:bottom w:val="nil"/>
                <w:right w:val="nil"/>
                <w:between w:val="nil"/>
              </w:pBdr>
              <w:spacing w:after="120" w:line="360" w:lineRule="auto"/>
              <w:ind w:right="112"/>
              <w:jc w:val="right"/>
              <w:rPr>
                <w:rFonts w:ascii="Arial" w:eastAsia="Arial" w:hAnsi="Arial" w:cs="Arial"/>
                <w:color w:val="010000"/>
                <w:sz w:val="20"/>
                <w:szCs w:val="20"/>
              </w:rPr>
            </w:pPr>
            <w:r>
              <w:rPr>
                <w:rFonts w:ascii="Arial" w:hAnsi="Arial"/>
                <w:color w:val="010000"/>
                <w:sz w:val="20"/>
              </w:rPr>
              <w:t>25,780</w:t>
            </w:r>
          </w:p>
        </w:tc>
        <w:tc>
          <w:tcPr>
            <w:tcW w:w="1255" w:type="dxa"/>
            <w:shd w:val="clear" w:color="auto" w:fill="auto"/>
            <w:tcMar>
              <w:top w:w="0" w:type="dxa"/>
              <w:bottom w:w="0" w:type="dxa"/>
            </w:tcMar>
            <w:vAlign w:val="center"/>
          </w:tcPr>
          <w:p w14:paraId="68BD4D4B" w14:textId="77777777" w:rsidR="00F16AB1" w:rsidRDefault="0030640C">
            <w:pPr>
              <w:pBdr>
                <w:top w:val="nil"/>
                <w:left w:val="nil"/>
                <w:bottom w:val="nil"/>
                <w:right w:val="nil"/>
                <w:between w:val="nil"/>
              </w:pBdr>
              <w:spacing w:after="120" w:line="360" w:lineRule="auto"/>
              <w:ind w:right="112"/>
              <w:jc w:val="right"/>
              <w:rPr>
                <w:rFonts w:ascii="Arial" w:eastAsia="Arial" w:hAnsi="Arial" w:cs="Arial"/>
                <w:color w:val="010000"/>
                <w:sz w:val="20"/>
                <w:szCs w:val="20"/>
              </w:rPr>
            </w:pPr>
            <w:r>
              <w:rPr>
                <w:rFonts w:ascii="Arial" w:hAnsi="Arial"/>
                <w:color w:val="010000"/>
                <w:sz w:val="20"/>
              </w:rPr>
              <w:t>27,000</w:t>
            </w:r>
          </w:p>
        </w:tc>
        <w:tc>
          <w:tcPr>
            <w:tcW w:w="1311" w:type="dxa"/>
            <w:shd w:val="clear" w:color="auto" w:fill="auto"/>
            <w:tcMar>
              <w:top w:w="0" w:type="dxa"/>
              <w:bottom w:w="0" w:type="dxa"/>
            </w:tcMar>
            <w:vAlign w:val="center"/>
          </w:tcPr>
          <w:p w14:paraId="414B1A33" w14:textId="77777777" w:rsidR="00F16AB1" w:rsidRDefault="0030640C">
            <w:pPr>
              <w:pBdr>
                <w:top w:val="nil"/>
                <w:left w:val="nil"/>
                <w:bottom w:val="nil"/>
                <w:right w:val="nil"/>
                <w:between w:val="nil"/>
              </w:pBdr>
              <w:spacing w:after="120" w:line="360" w:lineRule="auto"/>
              <w:ind w:right="112"/>
              <w:jc w:val="right"/>
              <w:rPr>
                <w:rFonts w:ascii="Arial" w:eastAsia="Arial" w:hAnsi="Arial" w:cs="Arial"/>
                <w:color w:val="010000"/>
                <w:sz w:val="20"/>
                <w:szCs w:val="20"/>
              </w:rPr>
            </w:pPr>
            <w:r>
              <w:rPr>
                <w:rFonts w:ascii="Arial" w:hAnsi="Arial"/>
                <w:color w:val="010000"/>
                <w:sz w:val="20"/>
              </w:rPr>
              <w:t>9,460</w:t>
            </w:r>
          </w:p>
        </w:tc>
        <w:tc>
          <w:tcPr>
            <w:tcW w:w="1179" w:type="dxa"/>
            <w:shd w:val="clear" w:color="auto" w:fill="auto"/>
            <w:tcMar>
              <w:top w:w="0" w:type="dxa"/>
              <w:bottom w:w="0" w:type="dxa"/>
            </w:tcMar>
            <w:vAlign w:val="center"/>
          </w:tcPr>
          <w:p w14:paraId="7938FC34" w14:textId="77777777" w:rsidR="00F16AB1" w:rsidRDefault="0030640C">
            <w:pPr>
              <w:pBdr>
                <w:top w:val="nil"/>
                <w:left w:val="nil"/>
                <w:bottom w:val="nil"/>
                <w:right w:val="nil"/>
                <w:between w:val="nil"/>
              </w:pBdr>
              <w:spacing w:after="120" w:line="360" w:lineRule="auto"/>
              <w:ind w:right="112"/>
              <w:jc w:val="right"/>
              <w:rPr>
                <w:rFonts w:ascii="Arial" w:eastAsia="Arial" w:hAnsi="Arial" w:cs="Arial"/>
                <w:color w:val="010000"/>
                <w:sz w:val="20"/>
                <w:szCs w:val="20"/>
              </w:rPr>
            </w:pPr>
            <w:r>
              <w:rPr>
                <w:rFonts w:ascii="Arial" w:hAnsi="Arial"/>
                <w:color w:val="010000"/>
                <w:sz w:val="20"/>
              </w:rPr>
              <w:t>35.1%</w:t>
            </w:r>
          </w:p>
        </w:tc>
        <w:tc>
          <w:tcPr>
            <w:tcW w:w="1472" w:type="dxa"/>
            <w:shd w:val="clear" w:color="auto" w:fill="auto"/>
            <w:tcMar>
              <w:top w:w="0" w:type="dxa"/>
              <w:bottom w:w="0" w:type="dxa"/>
            </w:tcMar>
            <w:vAlign w:val="center"/>
          </w:tcPr>
          <w:p w14:paraId="1A304364" w14:textId="77777777" w:rsidR="00F16AB1" w:rsidRDefault="0030640C">
            <w:pPr>
              <w:pBdr>
                <w:top w:val="nil"/>
                <w:left w:val="nil"/>
                <w:bottom w:val="nil"/>
                <w:right w:val="nil"/>
                <w:between w:val="nil"/>
              </w:pBdr>
              <w:spacing w:after="120" w:line="360" w:lineRule="auto"/>
              <w:ind w:right="112"/>
              <w:jc w:val="right"/>
              <w:rPr>
                <w:rFonts w:ascii="Arial" w:eastAsia="Arial" w:hAnsi="Arial" w:cs="Arial"/>
                <w:color w:val="010000"/>
                <w:sz w:val="20"/>
                <w:szCs w:val="20"/>
              </w:rPr>
            </w:pPr>
            <w:r>
              <w:rPr>
                <w:rFonts w:ascii="Arial" w:hAnsi="Arial"/>
                <w:color w:val="010000"/>
                <w:sz w:val="20"/>
              </w:rPr>
              <w:t>- 63.3%</w:t>
            </w:r>
          </w:p>
        </w:tc>
      </w:tr>
      <w:tr w:rsidR="00F16AB1" w14:paraId="57D5B5C3" w14:textId="77777777">
        <w:tc>
          <w:tcPr>
            <w:tcW w:w="2395" w:type="dxa"/>
            <w:shd w:val="clear" w:color="auto" w:fill="auto"/>
            <w:tcMar>
              <w:top w:w="0" w:type="dxa"/>
              <w:bottom w:w="0" w:type="dxa"/>
            </w:tcMar>
            <w:vAlign w:val="center"/>
          </w:tcPr>
          <w:p w14:paraId="3EA6DD79" w14:textId="6759CD19" w:rsidR="00F16AB1" w:rsidRDefault="0030640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basic </w:t>
            </w:r>
            <w:proofErr w:type="spellStart"/>
            <w:r>
              <w:rPr>
                <w:rFonts w:ascii="Arial" w:hAnsi="Arial"/>
                <w:color w:val="010000"/>
                <w:sz w:val="20"/>
              </w:rPr>
              <w:t>earning</w:t>
            </w:r>
            <w:proofErr w:type="spellEnd"/>
            <w:r>
              <w:rPr>
                <w:rFonts w:ascii="Arial" w:hAnsi="Arial"/>
                <w:color w:val="010000"/>
                <w:sz w:val="20"/>
              </w:rPr>
              <w:t xml:space="preserve"> per share (VND/Share)</w:t>
            </w:r>
          </w:p>
        </w:tc>
        <w:tc>
          <w:tcPr>
            <w:tcW w:w="1405" w:type="dxa"/>
            <w:shd w:val="clear" w:color="auto" w:fill="auto"/>
            <w:tcMar>
              <w:top w:w="0" w:type="dxa"/>
              <w:bottom w:w="0" w:type="dxa"/>
            </w:tcMar>
            <w:vAlign w:val="center"/>
          </w:tcPr>
          <w:p w14:paraId="228B49BE" w14:textId="77777777" w:rsidR="00F16AB1" w:rsidRDefault="0030640C">
            <w:pPr>
              <w:pBdr>
                <w:top w:val="nil"/>
                <w:left w:val="nil"/>
                <w:bottom w:val="nil"/>
                <w:right w:val="nil"/>
                <w:between w:val="nil"/>
              </w:pBdr>
              <w:spacing w:after="120" w:line="360" w:lineRule="auto"/>
              <w:ind w:right="112"/>
              <w:jc w:val="right"/>
              <w:rPr>
                <w:rFonts w:ascii="Arial" w:eastAsia="Arial" w:hAnsi="Arial" w:cs="Arial"/>
                <w:color w:val="010000"/>
                <w:sz w:val="20"/>
                <w:szCs w:val="20"/>
              </w:rPr>
            </w:pPr>
            <w:r>
              <w:rPr>
                <w:rFonts w:ascii="Arial" w:hAnsi="Arial"/>
                <w:color w:val="010000"/>
                <w:sz w:val="20"/>
              </w:rPr>
              <w:t>409</w:t>
            </w:r>
          </w:p>
        </w:tc>
        <w:tc>
          <w:tcPr>
            <w:tcW w:w="1255" w:type="dxa"/>
            <w:shd w:val="clear" w:color="auto" w:fill="auto"/>
            <w:tcMar>
              <w:top w:w="0" w:type="dxa"/>
              <w:bottom w:w="0" w:type="dxa"/>
            </w:tcMar>
            <w:vAlign w:val="center"/>
          </w:tcPr>
          <w:p w14:paraId="5498CF3F" w14:textId="77777777" w:rsidR="00F16AB1" w:rsidRDefault="0030640C">
            <w:pPr>
              <w:pBdr>
                <w:top w:val="nil"/>
                <w:left w:val="nil"/>
                <w:bottom w:val="nil"/>
                <w:right w:val="nil"/>
                <w:between w:val="nil"/>
              </w:pBdr>
              <w:spacing w:after="120" w:line="360" w:lineRule="auto"/>
              <w:ind w:right="112"/>
              <w:jc w:val="right"/>
              <w:rPr>
                <w:rFonts w:ascii="Arial" w:eastAsia="Arial" w:hAnsi="Arial" w:cs="Arial"/>
                <w:color w:val="010000"/>
                <w:sz w:val="20"/>
                <w:szCs w:val="20"/>
              </w:rPr>
            </w:pPr>
            <w:r>
              <w:rPr>
                <w:rFonts w:ascii="Arial" w:hAnsi="Arial"/>
                <w:color w:val="010000"/>
                <w:sz w:val="20"/>
              </w:rPr>
              <w:t>-</w:t>
            </w:r>
          </w:p>
        </w:tc>
        <w:tc>
          <w:tcPr>
            <w:tcW w:w="1311" w:type="dxa"/>
            <w:shd w:val="clear" w:color="auto" w:fill="auto"/>
            <w:tcMar>
              <w:top w:w="0" w:type="dxa"/>
              <w:bottom w:w="0" w:type="dxa"/>
            </w:tcMar>
            <w:vAlign w:val="center"/>
          </w:tcPr>
          <w:p w14:paraId="055379D5" w14:textId="77777777" w:rsidR="00F16AB1" w:rsidRDefault="0030640C">
            <w:pPr>
              <w:pBdr>
                <w:top w:val="nil"/>
                <w:left w:val="nil"/>
                <w:bottom w:val="nil"/>
                <w:right w:val="nil"/>
                <w:between w:val="nil"/>
              </w:pBdr>
              <w:spacing w:after="120" w:line="360" w:lineRule="auto"/>
              <w:ind w:right="112"/>
              <w:jc w:val="right"/>
              <w:rPr>
                <w:rFonts w:ascii="Arial" w:eastAsia="Arial" w:hAnsi="Arial" w:cs="Arial"/>
                <w:color w:val="010000"/>
                <w:sz w:val="20"/>
                <w:szCs w:val="20"/>
              </w:rPr>
            </w:pPr>
            <w:r>
              <w:rPr>
                <w:rFonts w:ascii="Arial" w:hAnsi="Arial"/>
                <w:color w:val="010000"/>
                <w:sz w:val="20"/>
              </w:rPr>
              <w:t>155</w:t>
            </w:r>
          </w:p>
        </w:tc>
        <w:tc>
          <w:tcPr>
            <w:tcW w:w="1179" w:type="dxa"/>
            <w:shd w:val="clear" w:color="auto" w:fill="auto"/>
            <w:tcMar>
              <w:top w:w="0" w:type="dxa"/>
              <w:bottom w:w="0" w:type="dxa"/>
            </w:tcMar>
            <w:vAlign w:val="center"/>
          </w:tcPr>
          <w:p w14:paraId="6E75A0F7" w14:textId="77777777" w:rsidR="00F16AB1" w:rsidRDefault="0030640C">
            <w:pPr>
              <w:pBdr>
                <w:top w:val="nil"/>
                <w:left w:val="nil"/>
                <w:bottom w:val="nil"/>
                <w:right w:val="nil"/>
                <w:between w:val="nil"/>
              </w:pBdr>
              <w:spacing w:after="120" w:line="360" w:lineRule="auto"/>
              <w:ind w:right="112"/>
              <w:jc w:val="right"/>
              <w:rPr>
                <w:rFonts w:ascii="Arial" w:eastAsia="Arial" w:hAnsi="Arial" w:cs="Arial"/>
                <w:color w:val="010000"/>
                <w:sz w:val="20"/>
                <w:szCs w:val="20"/>
              </w:rPr>
            </w:pPr>
            <w:r>
              <w:rPr>
                <w:rFonts w:ascii="Arial" w:hAnsi="Arial"/>
                <w:color w:val="010000"/>
                <w:sz w:val="20"/>
              </w:rPr>
              <w:t>-</w:t>
            </w:r>
          </w:p>
        </w:tc>
        <w:tc>
          <w:tcPr>
            <w:tcW w:w="1472" w:type="dxa"/>
            <w:shd w:val="clear" w:color="auto" w:fill="auto"/>
            <w:tcMar>
              <w:top w:w="0" w:type="dxa"/>
              <w:bottom w:w="0" w:type="dxa"/>
            </w:tcMar>
            <w:vAlign w:val="center"/>
          </w:tcPr>
          <w:p w14:paraId="31AD139A" w14:textId="77777777" w:rsidR="00F16AB1" w:rsidRDefault="00F16AB1">
            <w:pPr>
              <w:spacing w:after="120" w:line="360" w:lineRule="auto"/>
              <w:ind w:right="112"/>
              <w:jc w:val="right"/>
              <w:rPr>
                <w:rFonts w:ascii="Arial" w:eastAsia="Arial" w:hAnsi="Arial" w:cs="Arial"/>
                <w:color w:val="010000"/>
                <w:sz w:val="20"/>
                <w:szCs w:val="20"/>
              </w:rPr>
            </w:pPr>
          </w:p>
        </w:tc>
      </w:tr>
    </w:tbl>
    <w:p w14:paraId="03E8C4F6" w14:textId="77777777" w:rsidR="00F16AB1" w:rsidRDefault="0030640C">
      <w:pPr>
        <w:numPr>
          <w:ilvl w:val="0"/>
          <w:numId w:val="3"/>
        </w:numPr>
        <w:pBdr>
          <w:top w:val="nil"/>
          <w:left w:val="nil"/>
          <w:bottom w:val="nil"/>
          <w:right w:val="nil"/>
          <w:between w:val="nil"/>
        </w:pBdr>
        <w:tabs>
          <w:tab w:val="left" w:pos="689"/>
        </w:tabs>
        <w:spacing w:after="120" w:line="360" w:lineRule="auto"/>
        <w:rPr>
          <w:rFonts w:ascii="Arial" w:eastAsia="Arial" w:hAnsi="Arial" w:cs="Arial"/>
          <w:color w:val="010000"/>
          <w:sz w:val="20"/>
          <w:szCs w:val="20"/>
        </w:rPr>
      </w:pPr>
      <w:r>
        <w:rPr>
          <w:rFonts w:ascii="Arial" w:hAnsi="Arial"/>
          <w:color w:val="010000"/>
          <w:sz w:val="20"/>
        </w:rPr>
        <w:t>Report of the Supervisory Board for 2023, plan and operating orientation for 2024:</w:t>
      </w:r>
    </w:p>
    <w:p w14:paraId="13D8B795" w14:textId="7B1E2C25" w:rsidR="00F16AB1" w:rsidRDefault="0030640C">
      <w:pPr>
        <w:numPr>
          <w:ilvl w:val="0"/>
          <w:numId w:val="3"/>
        </w:numPr>
        <w:pBdr>
          <w:top w:val="nil"/>
          <w:left w:val="nil"/>
          <w:bottom w:val="nil"/>
          <w:right w:val="nil"/>
          <w:between w:val="nil"/>
        </w:pBdr>
        <w:tabs>
          <w:tab w:val="left" w:pos="690"/>
        </w:tabs>
        <w:spacing w:after="120" w:line="360" w:lineRule="auto"/>
        <w:rPr>
          <w:rFonts w:ascii="Arial" w:eastAsia="Arial" w:hAnsi="Arial" w:cs="Arial"/>
          <w:color w:val="010000"/>
          <w:sz w:val="20"/>
          <w:szCs w:val="20"/>
        </w:rPr>
      </w:pPr>
      <w:r>
        <w:rPr>
          <w:rFonts w:ascii="Arial" w:hAnsi="Arial"/>
          <w:color w:val="010000"/>
          <w:sz w:val="20"/>
        </w:rPr>
        <w:t xml:space="preserve">Approve the Consolidated Financial Statements and the Combined Financial Statements 2023, audited by the Hanoi branch of A&amp;C Auditing and Consulting Co., Ltd; </w:t>
      </w:r>
    </w:p>
    <w:p w14:paraId="7C079B07" w14:textId="77777777" w:rsidR="00F16AB1" w:rsidRDefault="0030640C">
      <w:pPr>
        <w:numPr>
          <w:ilvl w:val="0"/>
          <w:numId w:val="3"/>
        </w:numPr>
        <w:pBdr>
          <w:top w:val="nil"/>
          <w:left w:val="nil"/>
          <w:bottom w:val="nil"/>
          <w:right w:val="nil"/>
          <w:between w:val="nil"/>
        </w:pBdr>
        <w:tabs>
          <w:tab w:val="left" w:pos="729"/>
        </w:tabs>
        <w:spacing w:after="120" w:line="360" w:lineRule="auto"/>
        <w:rPr>
          <w:rFonts w:ascii="Arial" w:eastAsia="Arial" w:hAnsi="Arial" w:cs="Arial"/>
          <w:color w:val="010000"/>
          <w:sz w:val="20"/>
          <w:szCs w:val="20"/>
        </w:rPr>
      </w:pPr>
      <w:r>
        <w:rPr>
          <w:rFonts w:ascii="Arial" w:hAnsi="Arial"/>
          <w:color w:val="010000"/>
          <w:sz w:val="20"/>
        </w:rPr>
        <w:t>Approve the profit distribution plan for 2023 and settlement of salaries, remuneration of the Board of Directors and the Supervisory Board for 2023;</w:t>
      </w:r>
    </w:p>
    <w:p w14:paraId="4AD35BD2" w14:textId="77777777" w:rsidR="00F16AB1" w:rsidRDefault="0030640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distribution plan in 2023</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66"/>
        <w:gridCol w:w="2317"/>
        <w:gridCol w:w="1434"/>
      </w:tblGrid>
      <w:tr w:rsidR="00F16AB1" w14:paraId="06CCE601" w14:textId="77777777">
        <w:tc>
          <w:tcPr>
            <w:tcW w:w="5266" w:type="dxa"/>
            <w:shd w:val="clear" w:color="auto" w:fill="auto"/>
            <w:tcMar>
              <w:top w:w="0" w:type="dxa"/>
              <w:bottom w:w="0" w:type="dxa"/>
            </w:tcMar>
            <w:vAlign w:val="center"/>
          </w:tcPr>
          <w:p w14:paraId="29765FEE" w14:textId="77777777" w:rsidR="00F16AB1" w:rsidRDefault="0030640C">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Target</w:t>
            </w:r>
          </w:p>
        </w:tc>
        <w:tc>
          <w:tcPr>
            <w:tcW w:w="2317" w:type="dxa"/>
            <w:shd w:val="clear" w:color="auto" w:fill="auto"/>
            <w:tcMar>
              <w:top w:w="0" w:type="dxa"/>
              <w:bottom w:w="0" w:type="dxa"/>
            </w:tcMar>
            <w:vAlign w:val="center"/>
          </w:tcPr>
          <w:p w14:paraId="3D4B02BB" w14:textId="73C0F5A7" w:rsidR="00F16AB1" w:rsidRDefault="0030640C">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Value (VN</w:t>
            </w:r>
            <w:r w:rsidR="00CD6588">
              <w:rPr>
                <w:rFonts w:ascii="Arial" w:hAnsi="Arial"/>
                <w:color w:val="010000"/>
                <w:sz w:val="20"/>
              </w:rPr>
              <w:t>D</w:t>
            </w:r>
            <w:r>
              <w:rPr>
                <w:rFonts w:ascii="Arial" w:hAnsi="Arial"/>
                <w:color w:val="010000"/>
                <w:sz w:val="20"/>
              </w:rPr>
              <w:t>)</w:t>
            </w:r>
          </w:p>
        </w:tc>
        <w:tc>
          <w:tcPr>
            <w:tcW w:w="1434" w:type="dxa"/>
            <w:shd w:val="clear" w:color="auto" w:fill="auto"/>
            <w:tcMar>
              <w:top w:w="0" w:type="dxa"/>
              <w:bottom w:w="0" w:type="dxa"/>
            </w:tcMar>
            <w:vAlign w:val="center"/>
          </w:tcPr>
          <w:p w14:paraId="01B48E8A" w14:textId="77777777" w:rsidR="00F16AB1" w:rsidRDefault="0030640C">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Note</w:t>
            </w:r>
          </w:p>
        </w:tc>
      </w:tr>
      <w:tr w:rsidR="00F16AB1" w14:paraId="21CE8076" w14:textId="77777777">
        <w:tc>
          <w:tcPr>
            <w:tcW w:w="5266" w:type="dxa"/>
            <w:shd w:val="clear" w:color="auto" w:fill="auto"/>
            <w:tcMar>
              <w:top w:w="0" w:type="dxa"/>
              <w:bottom w:w="0" w:type="dxa"/>
            </w:tcMar>
            <w:vAlign w:val="center"/>
          </w:tcPr>
          <w:p w14:paraId="7DA06BBC" w14:textId="77777777" w:rsidR="00F16AB1" w:rsidRDefault="0030640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 accumulated undistributed profit after tax according to the Consolidated Financial Statements as of December 31, 2023</w:t>
            </w:r>
          </w:p>
        </w:tc>
        <w:tc>
          <w:tcPr>
            <w:tcW w:w="2317" w:type="dxa"/>
            <w:shd w:val="clear" w:color="auto" w:fill="auto"/>
            <w:tcMar>
              <w:top w:w="0" w:type="dxa"/>
              <w:bottom w:w="0" w:type="dxa"/>
            </w:tcMar>
            <w:vAlign w:val="center"/>
          </w:tcPr>
          <w:p w14:paraId="0E52050D" w14:textId="77777777" w:rsidR="00F16AB1" w:rsidRDefault="0030640C">
            <w:pPr>
              <w:pBdr>
                <w:top w:val="nil"/>
                <w:left w:val="nil"/>
                <w:bottom w:val="nil"/>
                <w:right w:val="nil"/>
                <w:between w:val="nil"/>
              </w:pBdr>
              <w:spacing w:after="120" w:line="360" w:lineRule="auto"/>
              <w:ind w:right="209"/>
              <w:jc w:val="right"/>
              <w:rPr>
                <w:rFonts w:ascii="Arial" w:eastAsia="Arial" w:hAnsi="Arial" w:cs="Arial"/>
                <w:color w:val="010000"/>
                <w:sz w:val="20"/>
                <w:szCs w:val="20"/>
              </w:rPr>
            </w:pPr>
            <w:r>
              <w:rPr>
                <w:rFonts w:ascii="Arial" w:hAnsi="Arial"/>
                <w:color w:val="010000"/>
                <w:sz w:val="20"/>
              </w:rPr>
              <w:t>29,621,554,214</w:t>
            </w:r>
          </w:p>
        </w:tc>
        <w:tc>
          <w:tcPr>
            <w:tcW w:w="1434" w:type="dxa"/>
            <w:shd w:val="clear" w:color="auto" w:fill="auto"/>
            <w:tcMar>
              <w:top w:w="0" w:type="dxa"/>
              <w:bottom w:w="0" w:type="dxa"/>
            </w:tcMar>
            <w:vAlign w:val="center"/>
          </w:tcPr>
          <w:p w14:paraId="7B986E5B" w14:textId="77777777" w:rsidR="00F16AB1" w:rsidRDefault="00F16AB1">
            <w:pPr>
              <w:spacing w:after="120" w:line="360" w:lineRule="auto"/>
              <w:rPr>
                <w:rFonts w:ascii="Arial" w:eastAsia="Arial" w:hAnsi="Arial" w:cs="Arial"/>
                <w:color w:val="010000"/>
                <w:sz w:val="20"/>
                <w:szCs w:val="20"/>
              </w:rPr>
            </w:pPr>
          </w:p>
        </w:tc>
      </w:tr>
      <w:tr w:rsidR="00F16AB1" w14:paraId="5992EC55" w14:textId="77777777">
        <w:tc>
          <w:tcPr>
            <w:tcW w:w="5266" w:type="dxa"/>
            <w:shd w:val="clear" w:color="auto" w:fill="auto"/>
            <w:tcMar>
              <w:top w:w="0" w:type="dxa"/>
              <w:bottom w:w="0" w:type="dxa"/>
            </w:tcMar>
            <w:vAlign w:val="center"/>
          </w:tcPr>
          <w:p w14:paraId="0A22FBD2" w14:textId="77777777" w:rsidR="00F16AB1" w:rsidRDefault="0030640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distribution in 2023</w:t>
            </w:r>
          </w:p>
        </w:tc>
        <w:tc>
          <w:tcPr>
            <w:tcW w:w="2317" w:type="dxa"/>
            <w:shd w:val="clear" w:color="auto" w:fill="auto"/>
            <w:tcMar>
              <w:top w:w="0" w:type="dxa"/>
              <w:bottom w:w="0" w:type="dxa"/>
            </w:tcMar>
            <w:vAlign w:val="center"/>
          </w:tcPr>
          <w:p w14:paraId="7B236FAB" w14:textId="77777777" w:rsidR="00F16AB1" w:rsidRDefault="0030640C">
            <w:pPr>
              <w:pBdr>
                <w:top w:val="nil"/>
                <w:left w:val="nil"/>
                <w:bottom w:val="nil"/>
                <w:right w:val="nil"/>
                <w:between w:val="nil"/>
              </w:pBdr>
              <w:spacing w:after="120" w:line="360" w:lineRule="auto"/>
              <w:ind w:right="209"/>
              <w:jc w:val="right"/>
              <w:rPr>
                <w:rFonts w:ascii="Arial" w:eastAsia="Arial" w:hAnsi="Arial" w:cs="Arial"/>
                <w:color w:val="010000"/>
                <w:sz w:val="20"/>
                <w:szCs w:val="20"/>
              </w:rPr>
            </w:pPr>
            <w:r>
              <w:rPr>
                <w:rFonts w:ascii="Arial" w:hAnsi="Arial"/>
                <w:color w:val="010000"/>
                <w:sz w:val="20"/>
              </w:rPr>
              <w:t>1,400,000,000</w:t>
            </w:r>
          </w:p>
        </w:tc>
        <w:tc>
          <w:tcPr>
            <w:tcW w:w="1434" w:type="dxa"/>
            <w:shd w:val="clear" w:color="auto" w:fill="auto"/>
            <w:tcMar>
              <w:top w:w="0" w:type="dxa"/>
              <w:bottom w:w="0" w:type="dxa"/>
            </w:tcMar>
            <w:vAlign w:val="center"/>
          </w:tcPr>
          <w:p w14:paraId="197FDECC" w14:textId="77777777" w:rsidR="00F16AB1" w:rsidRDefault="00F16AB1">
            <w:pPr>
              <w:spacing w:after="120" w:line="360" w:lineRule="auto"/>
              <w:rPr>
                <w:rFonts w:ascii="Arial" w:eastAsia="Arial" w:hAnsi="Arial" w:cs="Arial"/>
                <w:color w:val="010000"/>
                <w:sz w:val="20"/>
                <w:szCs w:val="20"/>
              </w:rPr>
            </w:pPr>
          </w:p>
        </w:tc>
      </w:tr>
      <w:tr w:rsidR="00F16AB1" w14:paraId="6E1B47B8" w14:textId="77777777">
        <w:tc>
          <w:tcPr>
            <w:tcW w:w="5266" w:type="dxa"/>
            <w:shd w:val="clear" w:color="auto" w:fill="auto"/>
            <w:tcMar>
              <w:top w:w="0" w:type="dxa"/>
              <w:bottom w:w="0" w:type="dxa"/>
            </w:tcMar>
            <w:vAlign w:val="center"/>
          </w:tcPr>
          <w:p w14:paraId="748169DE" w14:textId="465AA231" w:rsidR="00F16AB1" w:rsidRDefault="0030640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Appropriation for Development Investment Fund.</w:t>
            </w:r>
          </w:p>
        </w:tc>
        <w:tc>
          <w:tcPr>
            <w:tcW w:w="2317" w:type="dxa"/>
            <w:shd w:val="clear" w:color="auto" w:fill="auto"/>
            <w:tcMar>
              <w:top w:w="0" w:type="dxa"/>
              <w:bottom w:w="0" w:type="dxa"/>
            </w:tcMar>
            <w:vAlign w:val="center"/>
          </w:tcPr>
          <w:p w14:paraId="23C7668E" w14:textId="77777777" w:rsidR="00F16AB1" w:rsidRDefault="0030640C">
            <w:pPr>
              <w:pBdr>
                <w:top w:val="nil"/>
                <w:left w:val="nil"/>
                <w:bottom w:val="nil"/>
                <w:right w:val="nil"/>
                <w:between w:val="nil"/>
              </w:pBdr>
              <w:spacing w:after="120" w:line="360" w:lineRule="auto"/>
              <w:ind w:right="209"/>
              <w:jc w:val="right"/>
              <w:rPr>
                <w:rFonts w:ascii="Arial" w:eastAsia="Arial" w:hAnsi="Arial" w:cs="Arial"/>
                <w:color w:val="010000"/>
                <w:sz w:val="20"/>
                <w:szCs w:val="20"/>
              </w:rPr>
            </w:pPr>
            <w:r>
              <w:rPr>
                <w:rFonts w:ascii="Arial" w:hAnsi="Arial"/>
                <w:color w:val="010000"/>
                <w:sz w:val="20"/>
              </w:rPr>
              <w:t>500,000,000</w:t>
            </w:r>
          </w:p>
        </w:tc>
        <w:tc>
          <w:tcPr>
            <w:tcW w:w="1434" w:type="dxa"/>
            <w:shd w:val="clear" w:color="auto" w:fill="auto"/>
            <w:tcMar>
              <w:top w:w="0" w:type="dxa"/>
              <w:bottom w:w="0" w:type="dxa"/>
            </w:tcMar>
            <w:vAlign w:val="center"/>
          </w:tcPr>
          <w:p w14:paraId="33B627A2" w14:textId="77777777" w:rsidR="00F16AB1" w:rsidRDefault="00F16AB1">
            <w:pPr>
              <w:spacing w:after="120" w:line="360" w:lineRule="auto"/>
              <w:rPr>
                <w:rFonts w:ascii="Arial" w:eastAsia="Arial" w:hAnsi="Arial" w:cs="Arial"/>
                <w:color w:val="010000"/>
                <w:sz w:val="20"/>
                <w:szCs w:val="20"/>
              </w:rPr>
            </w:pPr>
          </w:p>
        </w:tc>
      </w:tr>
      <w:tr w:rsidR="00F16AB1" w14:paraId="75AB2488" w14:textId="77777777">
        <w:tc>
          <w:tcPr>
            <w:tcW w:w="5266" w:type="dxa"/>
            <w:shd w:val="clear" w:color="auto" w:fill="auto"/>
            <w:tcMar>
              <w:top w:w="0" w:type="dxa"/>
              <w:bottom w:w="0" w:type="dxa"/>
            </w:tcMar>
            <w:vAlign w:val="center"/>
          </w:tcPr>
          <w:p w14:paraId="279B3DD4" w14:textId="77777777" w:rsidR="00F16AB1" w:rsidRDefault="0030640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Appropriation for Bonus and welfare funds</w:t>
            </w:r>
          </w:p>
        </w:tc>
        <w:tc>
          <w:tcPr>
            <w:tcW w:w="2317" w:type="dxa"/>
            <w:shd w:val="clear" w:color="auto" w:fill="auto"/>
            <w:tcMar>
              <w:top w:w="0" w:type="dxa"/>
              <w:bottom w:w="0" w:type="dxa"/>
            </w:tcMar>
            <w:vAlign w:val="center"/>
          </w:tcPr>
          <w:p w14:paraId="099FBBB8" w14:textId="77777777" w:rsidR="00F16AB1" w:rsidRDefault="0030640C">
            <w:pPr>
              <w:pBdr>
                <w:top w:val="nil"/>
                <w:left w:val="nil"/>
                <w:bottom w:val="nil"/>
                <w:right w:val="nil"/>
                <w:between w:val="nil"/>
              </w:pBdr>
              <w:spacing w:after="120" w:line="360" w:lineRule="auto"/>
              <w:ind w:right="209"/>
              <w:jc w:val="right"/>
              <w:rPr>
                <w:rFonts w:ascii="Arial" w:eastAsia="Arial" w:hAnsi="Arial" w:cs="Arial"/>
                <w:color w:val="010000"/>
                <w:sz w:val="20"/>
                <w:szCs w:val="20"/>
              </w:rPr>
            </w:pPr>
            <w:r>
              <w:rPr>
                <w:rFonts w:ascii="Arial" w:hAnsi="Arial"/>
                <w:color w:val="010000"/>
                <w:sz w:val="20"/>
              </w:rPr>
              <w:t>300,000,000</w:t>
            </w:r>
          </w:p>
        </w:tc>
        <w:tc>
          <w:tcPr>
            <w:tcW w:w="1434" w:type="dxa"/>
            <w:shd w:val="clear" w:color="auto" w:fill="auto"/>
            <w:tcMar>
              <w:top w:w="0" w:type="dxa"/>
              <w:bottom w:w="0" w:type="dxa"/>
            </w:tcMar>
            <w:vAlign w:val="center"/>
          </w:tcPr>
          <w:p w14:paraId="4FF1432E" w14:textId="77777777" w:rsidR="00F16AB1" w:rsidRDefault="00F16AB1">
            <w:pPr>
              <w:spacing w:after="120" w:line="360" w:lineRule="auto"/>
              <w:rPr>
                <w:rFonts w:ascii="Arial" w:eastAsia="Arial" w:hAnsi="Arial" w:cs="Arial"/>
                <w:color w:val="010000"/>
                <w:sz w:val="20"/>
                <w:szCs w:val="20"/>
              </w:rPr>
            </w:pPr>
          </w:p>
        </w:tc>
      </w:tr>
      <w:tr w:rsidR="00F16AB1" w14:paraId="4101B764" w14:textId="77777777">
        <w:tc>
          <w:tcPr>
            <w:tcW w:w="5266" w:type="dxa"/>
            <w:shd w:val="clear" w:color="auto" w:fill="auto"/>
            <w:tcMar>
              <w:top w:w="0" w:type="dxa"/>
              <w:bottom w:w="0" w:type="dxa"/>
            </w:tcMar>
            <w:vAlign w:val="center"/>
          </w:tcPr>
          <w:p w14:paraId="41A57A08" w14:textId="77777777" w:rsidR="00F16AB1" w:rsidRDefault="0030640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Remuneration for the Board of Directors, Supervisory Board in 2023.</w:t>
            </w:r>
          </w:p>
        </w:tc>
        <w:tc>
          <w:tcPr>
            <w:tcW w:w="2317" w:type="dxa"/>
            <w:shd w:val="clear" w:color="auto" w:fill="auto"/>
            <w:tcMar>
              <w:top w:w="0" w:type="dxa"/>
              <w:bottom w:w="0" w:type="dxa"/>
            </w:tcMar>
            <w:vAlign w:val="center"/>
          </w:tcPr>
          <w:p w14:paraId="04474BDE" w14:textId="77777777" w:rsidR="00F16AB1" w:rsidRDefault="0030640C">
            <w:pPr>
              <w:pBdr>
                <w:top w:val="nil"/>
                <w:left w:val="nil"/>
                <w:bottom w:val="nil"/>
                <w:right w:val="nil"/>
                <w:between w:val="nil"/>
              </w:pBdr>
              <w:spacing w:after="120" w:line="360" w:lineRule="auto"/>
              <w:ind w:right="209"/>
              <w:jc w:val="right"/>
              <w:rPr>
                <w:rFonts w:ascii="Arial" w:eastAsia="Arial" w:hAnsi="Arial" w:cs="Arial"/>
                <w:color w:val="010000"/>
                <w:sz w:val="20"/>
                <w:szCs w:val="20"/>
              </w:rPr>
            </w:pPr>
            <w:r>
              <w:rPr>
                <w:rFonts w:ascii="Arial" w:hAnsi="Arial"/>
                <w:color w:val="010000"/>
                <w:sz w:val="20"/>
              </w:rPr>
              <w:t>600,000,000</w:t>
            </w:r>
          </w:p>
        </w:tc>
        <w:tc>
          <w:tcPr>
            <w:tcW w:w="1434" w:type="dxa"/>
            <w:shd w:val="clear" w:color="auto" w:fill="auto"/>
            <w:tcMar>
              <w:top w:w="0" w:type="dxa"/>
              <w:bottom w:w="0" w:type="dxa"/>
            </w:tcMar>
            <w:vAlign w:val="center"/>
          </w:tcPr>
          <w:p w14:paraId="3E3637A6" w14:textId="77777777" w:rsidR="00F16AB1" w:rsidRDefault="00F16AB1">
            <w:pPr>
              <w:spacing w:after="120" w:line="360" w:lineRule="auto"/>
              <w:rPr>
                <w:rFonts w:ascii="Arial" w:eastAsia="Arial" w:hAnsi="Arial" w:cs="Arial"/>
                <w:color w:val="010000"/>
                <w:sz w:val="20"/>
                <w:szCs w:val="20"/>
              </w:rPr>
            </w:pPr>
          </w:p>
        </w:tc>
      </w:tr>
      <w:tr w:rsidR="00F16AB1" w14:paraId="589731EB" w14:textId="77777777">
        <w:tc>
          <w:tcPr>
            <w:tcW w:w="5266" w:type="dxa"/>
            <w:shd w:val="clear" w:color="auto" w:fill="auto"/>
            <w:tcMar>
              <w:top w:w="0" w:type="dxa"/>
              <w:bottom w:w="0" w:type="dxa"/>
            </w:tcMar>
            <w:vAlign w:val="center"/>
          </w:tcPr>
          <w:p w14:paraId="79E55A3B" w14:textId="77777777" w:rsidR="00F16AB1" w:rsidRDefault="0030640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Remaining undistributed profit after tax</w:t>
            </w:r>
          </w:p>
        </w:tc>
        <w:tc>
          <w:tcPr>
            <w:tcW w:w="2317" w:type="dxa"/>
            <w:shd w:val="clear" w:color="auto" w:fill="auto"/>
            <w:tcMar>
              <w:top w:w="0" w:type="dxa"/>
              <w:bottom w:w="0" w:type="dxa"/>
            </w:tcMar>
            <w:vAlign w:val="center"/>
          </w:tcPr>
          <w:p w14:paraId="6EC380A4" w14:textId="77777777" w:rsidR="00F16AB1" w:rsidRDefault="0030640C">
            <w:pPr>
              <w:pBdr>
                <w:top w:val="nil"/>
                <w:left w:val="nil"/>
                <w:bottom w:val="nil"/>
                <w:right w:val="nil"/>
                <w:between w:val="nil"/>
              </w:pBdr>
              <w:spacing w:after="120" w:line="360" w:lineRule="auto"/>
              <w:ind w:right="209"/>
              <w:jc w:val="right"/>
              <w:rPr>
                <w:rFonts w:ascii="Arial" w:eastAsia="Arial" w:hAnsi="Arial" w:cs="Arial"/>
                <w:color w:val="010000"/>
                <w:sz w:val="20"/>
                <w:szCs w:val="20"/>
              </w:rPr>
            </w:pPr>
            <w:r>
              <w:rPr>
                <w:rFonts w:ascii="Arial" w:hAnsi="Arial"/>
                <w:color w:val="010000"/>
                <w:sz w:val="20"/>
              </w:rPr>
              <w:t>28,221,554,214</w:t>
            </w:r>
          </w:p>
        </w:tc>
        <w:tc>
          <w:tcPr>
            <w:tcW w:w="1434" w:type="dxa"/>
            <w:shd w:val="clear" w:color="auto" w:fill="auto"/>
            <w:tcMar>
              <w:top w:w="0" w:type="dxa"/>
              <w:bottom w:w="0" w:type="dxa"/>
            </w:tcMar>
            <w:vAlign w:val="center"/>
          </w:tcPr>
          <w:p w14:paraId="5D2B137B" w14:textId="77777777" w:rsidR="00F16AB1" w:rsidRDefault="00F16AB1">
            <w:pPr>
              <w:spacing w:after="120" w:line="360" w:lineRule="auto"/>
              <w:rPr>
                <w:rFonts w:ascii="Arial" w:eastAsia="Arial" w:hAnsi="Arial" w:cs="Arial"/>
                <w:color w:val="010000"/>
                <w:sz w:val="20"/>
                <w:szCs w:val="20"/>
              </w:rPr>
            </w:pPr>
          </w:p>
        </w:tc>
      </w:tr>
    </w:tbl>
    <w:p w14:paraId="3B62F537" w14:textId="77777777" w:rsidR="00F16AB1" w:rsidRDefault="0030640C">
      <w:pPr>
        <w:numPr>
          <w:ilvl w:val="0"/>
          <w:numId w:val="3"/>
        </w:numPr>
        <w:pBdr>
          <w:top w:val="nil"/>
          <w:left w:val="nil"/>
          <w:bottom w:val="nil"/>
          <w:right w:val="nil"/>
          <w:between w:val="nil"/>
        </w:pBdr>
        <w:tabs>
          <w:tab w:val="left" w:pos="729"/>
        </w:tabs>
        <w:spacing w:after="120" w:line="360" w:lineRule="auto"/>
        <w:rPr>
          <w:rFonts w:ascii="Arial" w:eastAsia="Arial" w:hAnsi="Arial" w:cs="Arial"/>
          <w:color w:val="010000"/>
          <w:sz w:val="20"/>
          <w:szCs w:val="20"/>
        </w:rPr>
      </w:pPr>
      <w:r>
        <w:rPr>
          <w:rFonts w:ascii="Arial" w:hAnsi="Arial"/>
          <w:color w:val="010000"/>
          <w:sz w:val="20"/>
        </w:rPr>
        <w:t>Approve the 2024 Business Plan and the expected salary and remuneration of the Board of Directors and Supervisory Board in 2024;</w:t>
      </w:r>
    </w:p>
    <w:p w14:paraId="5E660796" w14:textId="77777777" w:rsidR="00F16AB1" w:rsidRDefault="0030640C">
      <w:pPr>
        <w:tabs>
          <w:tab w:val="left" w:pos="729"/>
        </w:tabs>
        <w:spacing w:before="240" w:after="120" w:line="360" w:lineRule="auto"/>
        <w:rPr>
          <w:rFonts w:ascii="Arial" w:eastAsia="Arial" w:hAnsi="Arial" w:cs="Arial"/>
          <w:color w:val="010000"/>
          <w:sz w:val="20"/>
          <w:szCs w:val="20"/>
        </w:rPr>
      </w:pPr>
      <w:r>
        <w:rPr>
          <w:rFonts w:ascii="Arial" w:hAnsi="Arial"/>
          <w:color w:val="010000"/>
          <w:sz w:val="20"/>
        </w:rPr>
        <w:t>Business plan for 2024.</w:t>
      </w:r>
    </w:p>
    <w:tbl>
      <w:tblPr>
        <w:tblStyle w:val="a1"/>
        <w:tblW w:w="8865" w:type="dxa"/>
        <w:tblBorders>
          <w:top w:val="nil"/>
          <w:left w:val="nil"/>
          <w:bottom w:val="nil"/>
          <w:right w:val="nil"/>
          <w:insideH w:val="nil"/>
          <w:insideV w:val="nil"/>
        </w:tblBorders>
        <w:tblLayout w:type="fixed"/>
        <w:tblLook w:val="0600" w:firstRow="0" w:lastRow="0" w:firstColumn="0" w:lastColumn="0" w:noHBand="1" w:noVBand="1"/>
      </w:tblPr>
      <w:tblGrid>
        <w:gridCol w:w="690"/>
        <w:gridCol w:w="2730"/>
        <w:gridCol w:w="1710"/>
        <w:gridCol w:w="1740"/>
        <w:gridCol w:w="1995"/>
      </w:tblGrid>
      <w:tr w:rsidR="00F16AB1" w14:paraId="006B713C" w14:textId="77777777">
        <w:trPr>
          <w:trHeight w:val="435"/>
        </w:trPr>
        <w:tc>
          <w:tcPr>
            <w:tcW w:w="6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3DDFB6" w14:textId="77777777" w:rsidR="00F16AB1" w:rsidRDefault="0030640C">
            <w:pPr>
              <w:tabs>
                <w:tab w:val="left" w:pos="729"/>
              </w:tabs>
              <w:spacing w:before="240" w:after="120" w:line="360" w:lineRule="auto"/>
              <w:rPr>
                <w:rFonts w:ascii="Arial" w:eastAsia="Arial" w:hAnsi="Arial" w:cs="Arial"/>
                <w:color w:val="010000"/>
                <w:sz w:val="20"/>
                <w:szCs w:val="20"/>
              </w:rPr>
            </w:pPr>
            <w:r>
              <w:rPr>
                <w:rFonts w:ascii="Arial" w:hAnsi="Arial"/>
                <w:color w:val="010000"/>
                <w:sz w:val="20"/>
              </w:rPr>
              <w:t>No.</w:t>
            </w:r>
          </w:p>
        </w:tc>
        <w:tc>
          <w:tcPr>
            <w:tcW w:w="2730" w:type="dxa"/>
            <w:tcBorders>
              <w:top w:val="single" w:sz="6" w:space="0" w:color="000000"/>
              <w:left w:val="nil"/>
              <w:bottom w:val="single" w:sz="6" w:space="0" w:color="000000"/>
              <w:right w:val="single" w:sz="6" w:space="0" w:color="000000"/>
            </w:tcBorders>
            <w:tcMar>
              <w:top w:w="0" w:type="dxa"/>
              <w:left w:w="0" w:type="dxa"/>
              <w:bottom w:w="0" w:type="dxa"/>
              <w:right w:w="0" w:type="dxa"/>
            </w:tcMar>
          </w:tcPr>
          <w:p w14:paraId="5FBBF0E7" w14:textId="77777777" w:rsidR="00F16AB1" w:rsidRDefault="0030640C">
            <w:pPr>
              <w:tabs>
                <w:tab w:val="left" w:pos="729"/>
              </w:tabs>
              <w:spacing w:before="240" w:after="120" w:line="360" w:lineRule="auto"/>
              <w:rPr>
                <w:rFonts w:ascii="Arial" w:eastAsia="Arial" w:hAnsi="Arial" w:cs="Arial"/>
                <w:color w:val="010000"/>
                <w:sz w:val="20"/>
                <w:szCs w:val="20"/>
              </w:rPr>
            </w:pPr>
            <w:r>
              <w:rPr>
                <w:rFonts w:ascii="Arial" w:hAnsi="Arial"/>
                <w:color w:val="010000"/>
                <w:sz w:val="20"/>
              </w:rPr>
              <w:t>Target</w:t>
            </w:r>
          </w:p>
        </w:tc>
        <w:tc>
          <w:tcPr>
            <w:tcW w:w="1710" w:type="dxa"/>
            <w:tcBorders>
              <w:top w:val="single" w:sz="6" w:space="0" w:color="000000"/>
              <w:left w:val="nil"/>
              <w:bottom w:val="single" w:sz="6" w:space="0" w:color="000000"/>
              <w:right w:val="single" w:sz="6" w:space="0" w:color="000000"/>
            </w:tcBorders>
            <w:tcMar>
              <w:top w:w="0" w:type="dxa"/>
              <w:left w:w="0" w:type="dxa"/>
              <w:bottom w:w="0" w:type="dxa"/>
              <w:right w:w="0" w:type="dxa"/>
            </w:tcMar>
          </w:tcPr>
          <w:p w14:paraId="4815B911" w14:textId="46CA6DAA" w:rsidR="00F16AB1" w:rsidRDefault="0030640C">
            <w:pPr>
              <w:tabs>
                <w:tab w:val="left" w:pos="729"/>
              </w:tabs>
              <w:spacing w:before="240" w:after="120" w:line="360" w:lineRule="auto"/>
              <w:rPr>
                <w:rFonts w:ascii="Arial" w:eastAsia="Arial" w:hAnsi="Arial" w:cs="Arial"/>
                <w:color w:val="010000"/>
                <w:sz w:val="20"/>
                <w:szCs w:val="20"/>
              </w:rPr>
            </w:pPr>
            <w:r>
              <w:rPr>
                <w:rFonts w:ascii="Arial" w:hAnsi="Arial"/>
                <w:color w:val="010000"/>
                <w:sz w:val="20"/>
              </w:rPr>
              <w:t>Results</w:t>
            </w:r>
            <w:r w:rsidR="00CD6588">
              <w:rPr>
                <w:rFonts w:ascii="Arial" w:hAnsi="Arial"/>
                <w:color w:val="010000"/>
                <w:sz w:val="20"/>
              </w:rPr>
              <w:t xml:space="preserve"> 2023</w:t>
            </w:r>
          </w:p>
        </w:tc>
        <w:tc>
          <w:tcPr>
            <w:tcW w:w="1740" w:type="dxa"/>
            <w:tcBorders>
              <w:top w:val="single" w:sz="6" w:space="0" w:color="000000"/>
              <w:left w:val="nil"/>
              <w:bottom w:val="single" w:sz="6" w:space="0" w:color="000000"/>
              <w:right w:val="single" w:sz="6" w:space="0" w:color="000000"/>
            </w:tcBorders>
            <w:tcMar>
              <w:top w:w="0" w:type="dxa"/>
              <w:left w:w="0" w:type="dxa"/>
              <w:bottom w:w="0" w:type="dxa"/>
              <w:right w:w="0" w:type="dxa"/>
            </w:tcMar>
          </w:tcPr>
          <w:p w14:paraId="04699147" w14:textId="4B893A5C" w:rsidR="00F16AB1" w:rsidRDefault="0030640C">
            <w:pPr>
              <w:tabs>
                <w:tab w:val="left" w:pos="729"/>
              </w:tabs>
              <w:spacing w:before="240" w:after="120" w:line="360" w:lineRule="auto"/>
              <w:rPr>
                <w:rFonts w:ascii="Arial" w:eastAsia="Arial" w:hAnsi="Arial" w:cs="Arial"/>
                <w:color w:val="010000"/>
                <w:sz w:val="20"/>
                <w:szCs w:val="20"/>
              </w:rPr>
            </w:pPr>
            <w:r>
              <w:rPr>
                <w:rFonts w:ascii="Arial" w:hAnsi="Arial"/>
                <w:color w:val="010000"/>
                <w:sz w:val="20"/>
              </w:rPr>
              <w:t>Plan</w:t>
            </w:r>
            <w:r w:rsidR="00CD6588">
              <w:rPr>
                <w:rFonts w:ascii="Arial" w:hAnsi="Arial"/>
                <w:color w:val="010000"/>
                <w:sz w:val="20"/>
              </w:rPr>
              <w:t xml:space="preserve"> 2024</w:t>
            </w:r>
          </w:p>
        </w:tc>
        <w:tc>
          <w:tcPr>
            <w:tcW w:w="1995" w:type="dxa"/>
            <w:tcBorders>
              <w:top w:val="single" w:sz="6" w:space="0" w:color="000000"/>
              <w:left w:val="nil"/>
              <w:bottom w:val="single" w:sz="6" w:space="0" w:color="000000"/>
              <w:right w:val="single" w:sz="6" w:space="0" w:color="000000"/>
            </w:tcBorders>
            <w:tcMar>
              <w:top w:w="0" w:type="dxa"/>
              <w:left w:w="0" w:type="dxa"/>
              <w:bottom w:w="0" w:type="dxa"/>
              <w:right w:w="0" w:type="dxa"/>
            </w:tcMar>
          </w:tcPr>
          <w:p w14:paraId="60F70AF0" w14:textId="56EC29F5" w:rsidR="00F16AB1" w:rsidRDefault="0030640C">
            <w:pPr>
              <w:tabs>
                <w:tab w:val="left" w:pos="729"/>
              </w:tabs>
              <w:spacing w:before="240" w:after="120" w:line="360" w:lineRule="auto"/>
              <w:rPr>
                <w:rFonts w:ascii="Arial" w:eastAsia="Arial" w:hAnsi="Arial" w:cs="Arial"/>
                <w:color w:val="010000"/>
                <w:sz w:val="20"/>
                <w:szCs w:val="20"/>
              </w:rPr>
            </w:pPr>
            <w:r>
              <w:rPr>
                <w:rFonts w:ascii="Arial" w:hAnsi="Arial"/>
                <w:color w:val="010000"/>
                <w:sz w:val="20"/>
              </w:rPr>
              <w:t>Plan</w:t>
            </w:r>
            <w:r w:rsidR="00150CBA">
              <w:rPr>
                <w:rFonts w:ascii="Arial" w:hAnsi="Arial"/>
                <w:color w:val="010000"/>
                <w:sz w:val="20"/>
              </w:rPr>
              <w:t xml:space="preserve"> 2024</w:t>
            </w:r>
            <w:r>
              <w:rPr>
                <w:rFonts w:ascii="Arial" w:hAnsi="Arial"/>
                <w:color w:val="010000"/>
                <w:sz w:val="20"/>
              </w:rPr>
              <w:t xml:space="preserve">/Results </w:t>
            </w:r>
            <w:r w:rsidR="00150CBA">
              <w:rPr>
                <w:rFonts w:ascii="Arial" w:hAnsi="Arial"/>
                <w:color w:val="010000"/>
                <w:sz w:val="20"/>
              </w:rPr>
              <w:t xml:space="preserve">2023 </w:t>
            </w:r>
          </w:p>
        </w:tc>
      </w:tr>
      <w:tr w:rsidR="00F16AB1" w14:paraId="0ABA075A" w14:textId="77777777">
        <w:trPr>
          <w:trHeight w:val="734"/>
        </w:trPr>
        <w:tc>
          <w:tcPr>
            <w:tcW w:w="69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34E3A852" w14:textId="77777777" w:rsidR="00F16AB1" w:rsidRDefault="0030640C">
            <w:pPr>
              <w:tabs>
                <w:tab w:val="left" w:pos="729"/>
              </w:tabs>
              <w:spacing w:before="240" w:after="120" w:line="360" w:lineRule="auto"/>
              <w:rPr>
                <w:rFonts w:ascii="Arial" w:eastAsia="Arial" w:hAnsi="Arial" w:cs="Arial"/>
                <w:color w:val="010000"/>
                <w:sz w:val="20"/>
                <w:szCs w:val="20"/>
              </w:rPr>
            </w:pPr>
            <w:r>
              <w:rPr>
                <w:rFonts w:ascii="Arial" w:hAnsi="Arial"/>
                <w:color w:val="010000"/>
                <w:sz w:val="20"/>
              </w:rPr>
              <w:t>1</w:t>
            </w:r>
          </w:p>
        </w:tc>
        <w:tc>
          <w:tcPr>
            <w:tcW w:w="2730" w:type="dxa"/>
            <w:tcBorders>
              <w:top w:val="nil"/>
              <w:left w:val="nil"/>
              <w:bottom w:val="single" w:sz="6" w:space="0" w:color="000000"/>
              <w:right w:val="single" w:sz="6" w:space="0" w:color="000000"/>
            </w:tcBorders>
            <w:tcMar>
              <w:top w:w="0" w:type="dxa"/>
              <w:left w:w="0" w:type="dxa"/>
              <w:bottom w:w="0" w:type="dxa"/>
              <w:right w:w="0" w:type="dxa"/>
            </w:tcMar>
          </w:tcPr>
          <w:p w14:paraId="1CBD1AFF" w14:textId="77777777" w:rsidR="00F16AB1" w:rsidRDefault="0030640C">
            <w:pPr>
              <w:tabs>
                <w:tab w:val="left" w:pos="729"/>
              </w:tabs>
              <w:spacing w:before="240" w:after="120" w:line="360" w:lineRule="auto"/>
              <w:rPr>
                <w:rFonts w:ascii="Arial" w:eastAsia="Arial" w:hAnsi="Arial" w:cs="Arial"/>
                <w:color w:val="010000"/>
                <w:sz w:val="20"/>
                <w:szCs w:val="20"/>
              </w:rPr>
            </w:pPr>
            <w:r>
              <w:rPr>
                <w:rFonts w:ascii="Arial" w:hAnsi="Arial"/>
                <w:color w:val="010000"/>
                <w:sz w:val="20"/>
              </w:rPr>
              <w:t>Total consolidated revenue</w:t>
            </w:r>
          </w:p>
        </w:tc>
        <w:tc>
          <w:tcPr>
            <w:tcW w:w="1710" w:type="dxa"/>
            <w:tcBorders>
              <w:top w:val="nil"/>
              <w:left w:val="nil"/>
              <w:bottom w:val="single" w:sz="6" w:space="0" w:color="000000"/>
              <w:right w:val="single" w:sz="6" w:space="0" w:color="000000"/>
            </w:tcBorders>
            <w:tcMar>
              <w:top w:w="0" w:type="dxa"/>
              <w:left w:w="0" w:type="dxa"/>
              <w:bottom w:w="0" w:type="dxa"/>
              <w:right w:w="0" w:type="dxa"/>
            </w:tcMar>
          </w:tcPr>
          <w:p w14:paraId="1DC17960" w14:textId="77777777" w:rsidR="00F16AB1" w:rsidRDefault="0030640C">
            <w:pPr>
              <w:tabs>
                <w:tab w:val="left" w:pos="729"/>
              </w:tabs>
              <w:spacing w:before="240" w:after="120" w:line="360" w:lineRule="auto"/>
              <w:rPr>
                <w:rFonts w:ascii="Arial" w:eastAsia="Arial" w:hAnsi="Arial" w:cs="Arial"/>
                <w:color w:val="010000"/>
                <w:sz w:val="20"/>
                <w:szCs w:val="20"/>
              </w:rPr>
            </w:pPr>
            <w:r>
              <w:rPr>
                <w:rFonts w:ascii="Arial" w:hAnsi="Arial"/>
                <w:color w:val="010000"/>
                <w:sz w:val="20"/>
              </w:rPr>
              <w:t>1,249,444</w:t>
            </w:r>
          </w:p>
        </w:tc>
        <w:tc>
          <w:tcPr>
            <w:tcW w:w="1740" w:type="dxa"/>
            <w:tcBorders>
              <w:top w:val="nil"/>
              <w:left w:val="nil"/>
              <w:bottom w:val="single" w:sz="6" w:space="0" w:color="000000"/>
              <w:right w:val="single" w:sz="6" w:space="0" w:color="000000"/>
            </w:tcBorders>
            <w:tcMar>
              <w:top w:w="0" w:type="dxa"/>
              <w:left w:w="0" w:type="dxa"/>
              <w:bottom w:w="0" w:type="dxa"/>
              <w:right w:w="0" w:type="dxa"/>
            </w:tcMar>
          </w:tcPr>
          <w:p w14:paraId="225A13B5" w14:textId="77777777" w:rsidR="00F16AB1" w:rsidRDefault="0030640C">
            <w:pPr>
              <w:tabs>
                <w:tab w:val="left" w:pos="729"/>
              </w:tabs>
              <w:spacing w:before="240" w:after="120" w:line="360" w:lineRule="auto"/>
              <w:rPr>
                <w:rFonts w:ascii="Arial" w:eastAsia="Arial" w:hAnsi="Arial" w:cs="Arial"/>
                <w:color w:val="010000"/>
                <w:sz w:val="20"/>
                <w:szCs w:val="20"/>
              </w:rPr>
            </w:pPr>
            <w:r>
              <w:rPr>
                <w:rFonts w:ascii="Arial" w:hAnsi="Arial"/>
                <w:color w:val="010000"/>
                <w:sz w:val="20"/>
              </w:rPr>
              <w:t>1,260,000</w:t>
            </w:r>
          </w:p>
        </w:tc>
        <w:tc>
          <w:tcPr>
            <w:tcW w:w="1995" w:type="dxa"/>
            <w:tcBorders>
              <w:top w:val="nil"/>
              <w:left w:val="nil"/>
              <w:bottom w:val="single" w:sz="6" w:space="0" w:color="000000"/>
              <w:right w:val="single" w:sz="6" w:space="0" w:color="000000"/>
            </w:tcBorders>
            <w:tcMar>
              <w:top w:w="0" w:type="dxa"/>
              <w:left w:w="0" w:type="dxa"/>
              <w:bottom w:w="0" w:type="dxa"/>
              <w:right w:w="0" w:type="dxa"/>
            </w:tcMar>
          </w:tcPr>
          <w:p w14:paraId="74B2CEF2" w14:textId="77777777" w:rsidR="00F16AB1" w:rsidRDefault="0030640C">
            <w:pPr>
              <w:tabs>
                <w:tab w:val="left" w:pos="729"/>
              </w:tabs>
              <w:spacing w:before="240" w:after="120" w:line="360" w:lineRule="auto"/>
              <w:rPr>
                <w:rFonts w:ascii="Arial" w:eastAsia="Arial" w:hAnsi="Arial" w:cs="Arial"/>
                <w:color w:val="010000"/>
                <w:sz w:val="20"/>
                <w:szCs w:val="20"/>
              </w:rPr>
            </w:pPr>
            <w:r>
              <w:rPr>
                <w:rFonts w:ascii="Arial" w:hAnsi="Arial"/>
                <w:color w:val="010000"/>
                <w:sz w:val="20"/>
              </w:rPr>
              <w:t>100.84%</w:t>
            </w:r>
          </w:p>
        </w:tc>
      </w:tr>
      <w:tr w:rsidR="00F16AB1" w14:paraId="639952D7" w14:textId="77777777">
        <w:trPr>
          <w:trHeight w:val="435"/>
        </w:trPr>
        <w:tc>
          <w:tcPr>
            <w:tcW w:w="69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1DB8B315" w14:textId="77777777" w:rsidR="00F16AB1" w:rsidRDefault="0030640C">
            <w:pPr>
              <w:tabs>
                <w:tab w:val="left" w:pos="729"/>
              </w:tabs>
              <w:spacing w:before="240" w:after="120" w:line="360" w:lineRule="auto"/>
              <w:rPr>
                <w:rFonts w:ascii="Arial" w:eastAsia="Arial" w:hAnsi="Arial" w:cs="Arial"/>
                <w:color w:val="010000"/>
                <w:sz w:val="20"/>
                <w:szCs w:val="20"/>
              </w:rPr>
            </w:pPr>
            <w:r>
              <w:rPr>
                <w:rFonts w:ascii="Arial" w:hAnsi="Arial"/>
                <w:color w:val="010000"/>
                <w:sz w:val="20"/>
              </w:rPr>
              <w:t>-</w:t>
            </w:r>
          </w:p>
        </w:tc>
        <w:tc>
          <w:tcPr>
            <w:tcW w:w="2730" w:type="dxa"/>
            <w:tcBorders>
              <w:top w:val="nil"/>
              <w:left w:val="nil"/>
              <w:bottom w:val="single" w:sz="6" w:space="0" w:color="000000"/>
              <w:right w:val="single" w:sz="6" w:space="0" w:color="000000"/>
            </w:tcBorders>
            <w:tcMar>
              <w:top w:w="0" w:type="dxa"/>
              <w:left w:w="0" w:type="dxa"/>
              <w:bottom w:w="0" w:type="dxa"/>
              <w:right w:w="0" w:type="dxa"/>
            </w:tcMar>
          </w:tcPr>
          <w:p w14:paraId="51BAE69F" w14:textId="77777777" w:rsidR="00F16AB1" w:rsidRDefault="0030640C">
            <w:pPr>
              <w:tabs>
                <w:tab w:val="left" w:pos="729"/>
              </w:tabs>
              <w:spacing w:before="240" w:after="120" w:line="360" w:lineRule="auto"/>
              <w:rPr>
                <w:rFonts w:ascii="Arial" w:eastAsia="Arial" w:hAnsi="Arial" w:cs="Arial"/>
                <w:color w:val="010000"/>
                <w:sz w:val="20"/>
                <w:szCs w:val="20"/>
              </w:rPr>
            </w:pPr>
            <w:r>
              <w:rPr>
                <w:rFonts w:ascii="Arial" w:hAnsi="Arial"/>
                <w:color w:val="010000"/>
                <w:sz w:val="20"/>
              </w:rPr>
              <w:t>Revenue from the Holding Company</w:t>
            </w:r>
          </w:p>
        </w:tc>
        <w:tc>
          <w:tcPr>
            <w:tcW w:w="1710" w:type="dxa"/>
            <w:tcBorders>
              <w:top w:val="nil"/>
              <w:left w:val="nil"/>
              <w:bottom w:val="single" w:sz="6" w:space="0" w:color="000000"/>
              <w:right w:val="single" w:sz="6" w:space="0" w:color="000000"/>
            </w:tcBorders>
            <w:tcMar>
              <w:top w:w="0" w:type="dxa"/>
              <w:left w:w="0" w:type="dxa"/>
              <w:bottom w:w="0" w:type="dxa"/>
              <w:right w:w="0" w:type="dxa"/>
            </w:tcMar>
          </w:tcPr>
          <w:p w14:paraId="0A2E523C" w14:textId="77777777" w:rsidR="00F16AB1" w:rsidRDefault="0030640C">
            <w:pPr>
              <w:tabs>
                <w:tab w:val="left" w:pos="729"/>
              </w:tabs>
              <w:spacing w:before="240" w:after="120" w:line="360" w:lineRule="auto"/>
              <w:rPr>
                <w:rFonts w:ascii="Arial" w:eastAsia="Arial" w:hAnsi="Arial" w:cs="Arial"/>
                <w:color w:val="010000"/>
                <w:sz w:val="20"/>
                <w:szCs w:val="20"/>
              </w:rPr>
            </w:pPr>
            <w:r>
              <w:rPr>
                <w:rFonts w:ascii="Arial" w:hAnsi="Arial"/>
                <w:color w:val="010000"/>
                <w:sz w:val="20"/>
              </w:rPr>
              <w:t>402,522</w:t>
            </w:r>
          </w:p>
        </w:tc>
        <w:tc>
          <w:tcPr>
            <w:tcW w:w="1740" w:type="dxa"/>
            <w:tcBorders>
              <w:top w:val="nil"/>
              <w:left w:val="nil"/>
              <w:bottom w:val="single" w:sz="6" w:space="0" w:color="000000"/>
              <w:right w:val="single" w:sz="6" w:space="0" w:color="000000"/>
            </w:tcBorders>
            <w:tcMar>
              <w:top w:w="0" w:type="dxa"/>
              <w:left w:w="0" w:type="dxa"/>
              <w:bottom w:w="0" w:type="dxa"/>
              <w:right w:w="0" w:type="dxa"/>
            </w:tcMar>
          </w:tcPr>
          <w:p w14:paraId="2E156D90" w14:textId="77777777" w:rsidR="00F16AB1" w:rsidRDefault="0030640C">
            <w:pPr>
              <w:tabs>
                <w:tab w:val="left" w:pos="729"/>
              </w:tabs>
              <w:spacing w:before="240" w:after="120" w:line="360" w:lineRule="auto"/>
              <w:rPr>
                <w:rFonts w:ascii="Arial" w:eastAsia="Arial" w:hAnsi="Arial" w:cs="Arial"/>
                <w:color w:val="010000"/>
                <w:sz w:val="20"/>
                <w:szCs w:val="20"/>
              </w:rPr>
            </w:pPr>
            <w:r>
              <w:rPr>
                <w:rFonts w:ascii="Arial" w:hAnsi="Arial"/>
                <w:color w:val="010000"/>
                <w:sz w:val="20"/>
              </w:rPr>
              <w:t>440,000</w:t>
            </w:r>
          </w:p>
        </w:tc>
        <w:tc>
          <w:tcPr>
            <w:tcW w:w="1995" w:type="dxa"/>
            <w:tcBorders>
              <w:top w:val="nil"/>
              <w:left w:val="nil"/>
              <w:bottom w:val="single" w:sz="6" w:space="0" w:color="000000"/>
              <w:right w:val="single" w:sz="6" w:space="0" w:color="000000"/>
            </w:tcBorders>
            <w:tcMar>
              <w:top w:w="0" w:type="dxa"/>
              <w:left w:w="0" w:type="dxa"/>
              <w:bottom w:w="0" w:type="dxa"/>
              <w:right w:w="0" w:type="dxa"/>
            </w:tcMar>
          </w:tcPr>
          <w:p w14:paraId="0718F5C6" w14:textId="77777777" w:rsidR="00F16AB1" w:rsidRDefault="0030640C">
            <w:pPr>
              <w:tabs>
                <w:tab w:val="left" w:pos="729"/>
              </w:tabs>
              <w:spacing w:before="240" w:after="120" w:line="360" w:lineRule="auto"/>
              <w:rPr>
                <w:rFonts w:ascii="Arial" w:eastAsia="Arial" w:hAnsi="Arial" w:cs="Arial"/>
                <w:color w:val="010000"/>
                <w:sz w:val="20"/>
                <w:szCs w:val="20"/>
              </w:rPr>
            </w:pPr>
            <w:r>
              <w:rPr>
                <w:rFonts w:ascii="Arial" w:hAnsi="Arial"/>
                <w:color w:val="010000"/>
                <w:sz w:val="20"/>
              </w:rPr>
              <w:t>109.31%</w:t>
            </w:r>
          </w:p>
        </w:tc>
      </w:tr>
      <w:tr w:rsidR="00F16AB1" w14:paraId="747E1684" w14:textId="77777777">
        <w:trPr>
          <w:trHeight w:val="435"/>
        </w:trPr>
        <w:tc>
          <w:tcPr>
            <w:tcW w:w="69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0C0BFEDD" w14:textId="77777777" w:rsidR="00F16AB1" w:rsidRDefault="0030640C">
            <w:pPr>
              <w:tabs>
                <w:tab w:val="left" w:pos="729"/>
              </w:tabs>
              <w:spacing w:before="240" w:after="120" w:line="360" w:lineRule="auto"/>
              <w:rPr>
                <w:rFonts w:ascii="Arial" w:eastAsia="Arial" w:hAnsi="Arial" w:cs="Arial"/>
                <w:color w:val="010000"/>
                <w:sz w:val="20"/>
                <w:szCs w:val="20"/>
              </w:rPr>
            </w:pPr>
            <w:r>
              <w:rPr>
                <w:rFonts w:ascii="Arial" w:hAnsi="Arial"/>
                <w:color w:val="010000"/>
                <w:sz w:val="20"/>
              </w:rPr>
              <w:t>2</w:t>
            </w:r>
          </w:p>
        </w:tc>
        <w:tc>
          <w:tcPr>
            <w:tcW w:w="2730" w:type="dxa"/>
            <w:tcBorders>
              <w:top w:val="nil"/>
              <w:left w:val="nil"/>
              <w:bottom w:val="single" w:sz="6" w:space="0" w:color="000000"/>
              <w:right w:val="single" w:sz="6" w:space="0" w:color="000000"/>
            </w:tcBorders>
            <w:tcMar>
              <w:top w:w="0" w:type="dxa"/>
              <w:left w:w="0" w:type="dxa"/>
              <w:bottom w:w="0" w:type="dxa"/>
              <w:right w:w="0" w:type="dxa"/>
            </w:tcMar>
          </w:tcPr>
          <w:p w14:paraId="433D2852" w14:textId="77777777" w:rsidR="00F16AB1" w:rsidRDefault="0030640C">
            <w:pPr>
              <w:tabs>
                <w:tab w:val="left" w:pos="729"/>
              </w:tabs>
              <w:spacing w:before="240" w:after="120" w:line="360" w:lineRule="auto"/>
              <w:rPr>
                <w:rFonts w:ascii="Arial" w:eastAsia="Arial" w:hAnsi="Arial" w:cs="Arial"/>
                <w:color w:val="010000"/>
                <w:sz w:val="20"/>
                <w:szCs w:val="20"/>
              </w:rPr>
            </w:pPr>
            <w:r>
              <w:rPr>
                <w:rFonts w:ascii="Arial" w:hAnsi="Arial"/>
                <w:color w:val="010000"/>
                <w:sz w:val="20"/>
              </w:rPr>
              <w:t>Consolidated profit after tax</w:t>
            </w:r>
          </w:p>
        </w:tc>
        <w:tc>
          <w:tcPr>
            <w:tcW w:w="1710" w:type="dxa"/>
            <w:tcBorders>
              <w:top w:val="nil"/>
              <w:left w:val="nil"/>
              <w:bottom w:val="single" w:sz="6" w:space="0" w:color="000000"/>
              <w:right w:val="single" w:sz="6" w:space="0" w:color="000000"/>
            </w:tcBorders>
            <w:tcMar>
              <w:top w:w="0" w:type="dxa"/>
              <w:left w:w="0" w:type="dxa"/>
              <w:bottom w:w="0" w:type="dxa"/>
              <w:right w:w="0" w:type="dxa"/>
            </w:tcMar>
          </w:tcPr>
          <w:p w14:paraId="1C40A8EF" w14:textId="77777777" w:rsidR="00F16AB1" w:rsidRDefault="0030640C">
            <w:pPr>
              <w:tabs>
                <w:tab w:val="left" w:pos="729"/>
              </w:tabs>
              <w:spacing w:before="240" w:after="120" w:line="360" w:lineRule="auto"/>
              <w:rPr>
                <w:rFonts w:ascii="Arial" w:eastAsia="Arial" w:hAnsi="Arial" w:cs="Arial"/>
                <w:color w:val="010000"/>
                <w:sz w:val="20"/>
                <w:szCs w:val="20"/>
              </w:rPr>
            </w:pPr>
            <w:r>
              <w:rPr>
                <w:rFonts w:ascii="Arial" w:hAnsi="Arial"/>
                <w:color w:val="010000"/>
                <w:sz w:val="20"/>
              </w:rPr>
              <w:t>10,913</w:t>
            </w:r>
          </w:p>
        </w:tc>
        <w:tc>
          <w:tcPr>
            <w:tcW w:w="1740" w:type="dxa"/>
            <w:tcBorders>
              <w:top w:val="nil"/>
              <w:left w:val="nil"/>
              <w:bottom w:val="single" w:sz="6" w:space="0" w:color="000000"/>
              <w:right w:val="single" w:sz="6" w:space="0" w:color="000000"/>
            </w:tcBorders>
            <w:tcMar>
              <w:top w:w="0" w:type="dxa"/>
              <w:left w:w="0" w:type="dxa"/>
              <w:bottom w:w="0" w:type="dxa"/>
              <w:right w:w="0" w:type="dxa"/>
            </w:tcMar>
          </w:tcPr>
          <w:p w14:paraId="779D95D0" w14:textId="77777777" w:rsidR="00F16AB1" w:rsidRDefault="0030640C">
            <w:pPr>
              <w:tabs>
                <w:tab w:val="left" w:pos="729"/>
              </w:tabs>
              <w:spacing w:before="240" w:after="120" w:line="360" w:lineRule="auto"/>
              <w:rPr>
                <w:rFonts w:ascii="Arial" w:eastAsia="Arial" w:hAnsi="Arial" w:cs="Arial"/>
                <w:color w:val="010000"/>
                <w:sz w:val="20"/>
                <w:szCs w:val="20"/>
              </w:rPr>
            </w:pPr>
            <w:r>
              <w:rPr>
                <w:rFonts w:ascii="Arial" w:hAnsi="Arial"/>
                <w:color w:val="010000"/>
                <w:sz w:val="20"/>
              </w:rPr>
              <w:t>20,000</w:t>
            </w:r>
          </w:p>
        </w:tc>
        <w:tc>
          <w:tcPr>
            <w:tcW w:w="1995" w:type="dxa"/>
            <w:tcBorders>
              <w:top w:val="nil"/>
              <w:left w:val="nil"/>
              <w:bottom w:val="single" w:sz="6" w:space="0" w:color="000000"/>
              <w:right w:val="single" w:sz="6" w:space="0" w:color="000000"/>
            </w:tcBorders>
            <w:tcMar>
              <w:top w:w="0" w:type="dxa"/>
              <w:left w:w="0" w:type="dxa"/>
              <w:bottom w:w="0" w:type="dxa"/>
              <w:right w:w="0" w:type="dxa"/>
            </w:tcMar>
          </w:tcPr>
          <w:p w14:paraId="73894738" w14:textId="77777777" w:rsidR="00F16AB1" w:rsidRDefault="0030640C">
            <w:pPr>
              <w:tabs>
                <w:tab w:val="left" w:pos="729"/>
              </w:tabs>
              <w:spacing w:before="240" w:after="120" w:line="360" w:lineRule="auto"/>
              <w:rPr>
                <w:rFonts w:ascii="Arial" w:eastAsia="Arial" w:hAnsi="Arial" w:cs="Arial"/>
                <w:color w:val="010000"/>
                <w:sz w:val="20"/>
                <w:szCs w:val="20"/>
              </w:rPr>
            </w:pPr>
            <w:r>
              <w:rPr>
                <w:rFonts w:ascii="Arial" w:hAnsi="Arial"/>
                <w:color w:val="010000"/>
                <w:sz w:val="20"/>
              </w:rPr>
              <w:t>183.27%</w:t>
            </w:r>
          </w:p>
        </w:tc>
      </w:tr>
      <w:tr w:rsidR="00F16AB1" w14:paraId="1077D39C" w14:textId="77777777">
        <w:trPr>
          <w:trHeight w:val="539"/>
        </w:trPr>
        <w:tc>
          <w:tcPr>
            <w:tcW w:w="69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2432CACE" w14:textId="77777777" w:rsidR="00F16AB1" w:rsidRDefault="0030640C">
            <w:pPr>
              <w:tabs>
                <w:tab w:val="left" w:pos="729"/>
              </w:tabs>
              <w:spacing w:before="240" w:after="120" w:line="360" w:lineRule="auto"/>
              <w:rPr>
                <w:rFonts w:ascii="Arial" w:eastAsia="Arial" w:hAnsi="Arial" w:cs="Arial"/>
                <w:color w:val="010000"/>
                <w:sz w:val="20"/>
                <w:szCs w:val="20"/>
              </w:rPr>
            </w:pPr>
            <w:r>
              <w:rPr>
                <w:rFonts w:ascii="Arial" w:hAnsi="Arial"/>
                <w:color w:val="010000"/>
                <w:sz w:val="20"/>
              </w:rPr>
              <w:t>-</w:t>
            </w:r>
          </w:p>
        </w:tc>
        <w:tc>
          <w:tcPr>
            <w:tcW w:w="2730" w:type="dxa"/>
            <w:tcBorders>
              <w:top w:val="nil"/>
              <w:left w:val="nil"/>
              <w:bottom w:val="single" w:sz="6" w:space="0" w:color="000000"/>
              <w:right w:val="single" w:sz="6" w:space="0" w:color="000000"/>
            </w:tcBorders>
            <w:tcMar>
              <w:top w:w="0" w:type="dxa"/>
              <w:left w:w="0" w:type="dxa"/>
              <w:bottom w:w="0" w:type="dxa"/>
              <w:right w:w="0" w:type="dxa"/>
            </w:tcMar>
          </w:tcPr>
          <w:p w14:paraId="4B9AF642" w14:textId="77777777" w:rsidR="00F16AB1" w:rsidRDefault="0030640C">
            <w:pPr>
              <w:tabs>
                <w:tab w:val="left" w:pos="729"/>
              </w:tabs>
              <w:spacing w:before="240" w:after="120" w:line="360" w:lineRule="auto"/>
              <w:rPr>
                <w:rFonts w:ascii="Arial" w:eastAsia="Arial" w:hAnsi="Arial" w:cs="Arial"/>
                <w:color w:val="010000"/>
                <w:sz w:val="20"/>
                <w:szCs w:val="20"/>
              </w:rPr>
            </w:pPr>
            <w:r>
              <w:rPr>
                <w:rFonts w:ascii="Arial" w:hAnsi="Arial"/>
                <w:color w:val="010000"/>
                <w:sz w:val="20"/>
              </w:rPr>
              <w:t>Profit after tax of the Holding Company</w:t>
            </w:r>
          </w:p>
        </w:tc>
        <w:tc>
          <w:tcPr>
            <w:tcW w:w="1710" w:type="dxa"/>
            <w:tcBorders>
              <w:top w:val="nil"/>
              <w:left w:val="nil"/>
              <w:bottom w:val="single" w:sz="6" w:space="0" w:color="000000"/>
              <w:right w:val="single" w:sz="6" w:space="0" w:color="000000"/>
            </w:tcBorders>
            <w:tcMar>
              <w:top w:w="0" w:type="dxa"/>
              <w:left w:w="0" w:type="dxa"/>
              <w:bottom w:w="0" w:type="dxa"/>
              <w:right w:w="0" w:type="dxa"/>
            </w:tcMar>
          </w:tcPr>
          <w:p w14:paraId="12E62F60" w14:textId="77777777" w:rsidR="00F16AB1" w:rsidRDefault="0030640C">
            <w:pPr>
              <w:tabs>
                <w:tab w:val="left" w:pos="729"/>
              </w:tabs>
              <w:spacing w:before="240" w:after="120" w:line="360" w:lineRule="auto"/>
              <w:rPr>
                <w:rFonts w:ascii="Arial" w:eastAsia="Arial" w:hAnsi="Arial" w:cs="Arial"/>
                <w:color w:val="010000"/>
                <w:sz w:val="20"/>
                <w:szCs w:val="20"/>
              </w:rPr>
            </w:pPr>
            <w:r>
              <w:rPr>
                <w:rFonts w:ascii="Arial" w:hAnsi="Arial"/>
                <w:color w:val="010000"/>
                <w:sz w:val="20"/>
              </w:rPr>
              <w:t>9,460</w:t>
            </w:r>
          </w:p>
        </w:tc>
        <w:tc>
          <w:tcPr>
            <w:tcW w:w="1740" w:type="dxa"/>
            <w:tcBorders>
              <w:top w:val="nil"/>
              <w:left w:val="nil"/>
              <w:bottom w:val="single" w:sz="6" w:space="0" w:color="000000"/>
              <w:right w:val="single" w:sz="6" w:space="0" w:color="000000"/>
            </w:tcBorders>
            <w:tcMar>
              <w:top w:w="0" w:type="dxa"/>
              <w:left w:w="0" w:type="dxa"/>
              <w:bottom w:w="0" w:type="dxa"/>
              <w:right w:w="0" w:type="dxa"/>
            </w:tcMar>
          </w:tcPr>
          <w:p w14:paraId="23B430D8" w14:textId="77777777" w:rsidR="00F16AB1" w:rsidRDefault="0030640C">
            <w:pPr>
              <w:tabs>
                <w:tab w:val="left" w:pos="729"/>
              </w:tabs>
              <w:spacing w:before="240" w:after="120" w:line="360" w:lineRule="auto"/>
              <w:rPr>
                <w:rFonts w:ascii="Arial" w:eastAsia="Arial" w:hAnsi="Arial" w:cs="Arial"/>
                <w:color w:val="010000"/>
                <w:sz w:val="20"/>
                <w:szCs w:val="20"/>
              </w:rPr>
            </w:pPr>
            <w:r>
              <w:rPr>
                <w:rFonts w:ascii="Arial" w:hAnsi="Arial"/>
                <w:color w:val="010000"/>
                <w:sz w:val="20"/>
              </w:rPr>
              <w:t>14,500</w:t>
            </w:r>
          </w:p>
        </w:tc>
        <w:tc>
          <w:tcPr>
            <w:tcW w:w="1995" w:type="dxa"/>
            <w:tcBorders>
              <w:top w:val="nil"/>
              <w:left w:val="nil"/>
              <w:bottom w:val="single" w:sz="6" w:space="0" w:color="000000"/>
              <w:right w:val="single" w:sz="6" w:space="0" w:color="000000"/>
            </w:tcBorders>
            <w:tcMar>
              <w:top w:w="0" w:type="dxa"/>
              <w:left w:w="0" w:type="dxa"/>
              <w:bottom w:w="0" w:type="dxa"/>
              <w:right w:w="0" w:type="dxa"/>
            </w:tcMar>
          </w:tcPr>
          <w:p w14:paraId="52C2A66F" w14:textId="77777777" w:rsidR="00F16AB1" w:rsidRDefault="0030640C">
            <w:pPr>
              <w:tabs>
                <w:tab w:val="left" w:pos="729"/>
              </w:tabs>
              <w:spacing w:before="240" w:after="120" w:line="360" w:lineRule="auto"/>
              <w:rPr>
                <w:rFonts w:ascii="Arial" w:eastAsia="Arial" w:hAnsi="Arial" w:cs="Arial"/>
                <w:color w:val="010000"/>
                <w:sz w:val="20"/>
                <w:szCs w:val="20"/>
              </w:rPr>
            </w:pPr>
            <w:r>
              <w:rPr>
                <w:rFonts w:ascii="Arial" w:hAnsi="Arial"/>
                <w:color w:val="010000"/>
                <w:sz w:val="20"/>
              </w:rPr>
              <w:t>153.28%</w:t>
            </w:r>
          </w:p>
        </w:tc>
      </w:tr>
    </w:tbl>
    <w:p w14:paraId="5FFDAEA2" w14:textId="77777777" w:rsidR="00F16AB1" w:rsidRDefault="0030640C">
      <w:pPr>
        <w:numPr>
          <w:ilvl w:val="0"/>
          <w:numId w:val="3"/>
        </w:numPr>
        <w:pBdr>
          <w:top w:val="nil"/>
          <w:left w:val="nil"/>
          <w:bottom w:val="nil"/>
          <w:right w:val="nil"/>
          <w:between w:val="nil"/>
        </w:pBdr>
        <w:tabs>
          <w:tab w:val="left" w:pos="729"/>
        </w:tabs>
        <w:spacing w:after="120" w:line="360" w:lineRule="auto"/>
        <w:rPr>
          <w:rFonts w:ascii="Arial" w:eastAsia="Arial" w:hAnsi="Arial" w:cs="Arial"/>
          <w:color w:val="010000"/>
          <w:sz w:val="20"/>
          <w:szCs w:val="20"/>
        </w:rPr>
      </w:pPr>
      <w:r>
        <w:rPr>
          <w:rFonts w:ascii="Arial" w:hAnsi="Arial"/>
          <w:color w:val="010000"/>
          <w:sz w:val="20"/>
        </w:rPr>
        <w:t>Approve the list of candidates to select audit company in 2024;</w:t>
      </w:r>
    </w:p>
    <w:p w14:paraId="22216813" w14:textId="77777777" w:rsidR="00F16AB1" w:rsidRDefault="0030640C">
      <w:pPr>
        <w:numPr>
          <w:ilvl w:val="0"/>
          <w:numId w:val="3"/>
        </w:numPr>
        <w:pBdr>
          <w:top w:val="nil"/>
          <w:left w:val="nil"/>
          <w:bottom w:val="nil"/>
          <w:right w:val="nil"/>
          <w:between w:val="nil"/>
        </w:pBdr>
        <w:tabs>
          <w:tab w:val="left" w:pos="729"/>
        </w:tabs>
        <w:spacing w:after="120" w:line="360" w:lineRule="auto"/>
        <w:rPr>
          <w:rFonts w:ascii="Arial" w:eastAsia="Arial" w:hAnsi="Arial" w:cs="Arial"/>
          <w:color w:val="010000"/>
          <w:sz w:val="20"/>
          <w:szCs w:val="20"/>
        </w:rPr>
      </w:pPr>
      <w:r>
        <w:rPr>
          <w:rFonts w:ascii="Arial" w:hAnsi="Arial"/>
          <w:color w:val="010000"/>
          <w:sz w:val="20"/>
        </w:rPr>
        <w:t>Approve the Proposal on supplementing a number of business line</w:t>
      </w:r>
    </w:p>
    <w:p w14:paraId="76A277F7" w14:textId="77777777" w:rsidR="00F16AB1" w:rsidRDefault="0030640C" w:rsidP="00832A9E">
      <w:pPr>
        <w:numPr>
          <w:ilvl w:val="0"/>
          <w:numId w:val="3"/>
        </w:numPr>
        <w:pBdr>
          <w:top w:val="nil"/>
          <w:left w:val="nil"/>
          <w:bottom w:val="nil"/>
          <w:right w:val="nil"/>
          <w:between w:val="nil"/>
        </w:pBdr>
        <w:tabs>
          <w:tab w:val="left" w:pos="729"/>
        </w:tabs>
        <w:spacing w:after="120" w:line="360" w:lineRule="auto"/>
        <w:jc w:val="both"/>
        <w:rPr>
          <w:rFonts w:ascii="Arial" w:eastAsia="Arial" w:hAnsi="Arial" w:cs="Arial"/>
          <w:color w:val="010000"/>
          <w:sz w:val="20"/>
          <w:szCs w:val="20"/>
        </w:rPr>
      </w:pPr>
      <w:r>
        <w:rPr>
          <w:rFonts w:ascii="Arial" w:hAnsi="Arial"/>
          <w:color w:val="010000"/>
          <w:sz w:val="20"/>
        </w:rPr>
        <w:t>Approve the Proposal on adjustment and supplementing the Company's Charter:</w:t>
      </w:r>
    </w:p>
    <w:p w14:paraId="51E1417B" w14:textId="77777777" w:rsidR="00F16AB1" w:rsidRDefault="0030640C" w:rsidP="00832A9E">
      <w:pPr>
        <w:numPr>
          <w:ilvl w:val="0"/>
          <w:numId w:val="3"/>
        </w:numPr>
        <w:pBdr>
          <w:top w:val="nil"/>
          <w:left w:val="nil"/>
          <w:bottom w:val="nil"/>
          <w:right w:val="nil"/>
          <w:between w:val="nil"/>
        </w:pBdr>
        <w:tabs>
          <w:tab w:val="left" w:pos="740"/>
        </w:tabs>
        <w:spacing w:after="120" w:line="360" w:lineRule="auto"/>
        <w:jc w:val="both"/>
        <w:rPr>
          <w:rFonts w:ascii="Arial" w:eastAsia="Arial" w:hAnsi="Arial" w:cs="Arial"/>
          <w:color w:val="010000"/>
          <w:sz w:val="20"/>
          <w:szCs w:val="20"/>
        </w:rPr>
      </w:pPr>
      <w:r>
        <w:rPr>
          <w:rFonts w:ascii="Arial" w:hAnsi="Arial"/>
          <w:color w:val="010000"/>
          <w:sz w:val="20"/>
        </w:rPr>
        <w:t>Approve of the proposal for the election of members of the Board of Directors, Supervisory Board for the term 2024 - 2029.   The election results include the following members:</w:t>
      </w:r>
    </w:p>
    <w:p w14:paraId="4999E42C" w14:textId="77777777" w:rsidR="00F16AB1" w:rsidRDefault="0030640C" w:rsidP="00832A9E">
      <w:pPr>
        <w:numPr>
          <w:ilvl w:val="1"/>
          <w:numId w:val="3"/>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Pr>
          <w:rFonts w:ascii="Arial" w:hAnsi="Arial"/>
          <w:color w:val="010000"/>
          <w:sz w:val="20"/>
        </w:rPr>
        <w:t>Members of the Board of Directors for the term 2024 - 2029:</w:t>
      </w:r>
    </w:p>
    <w:p w14:paraId="2FD359AE" w14:textId="77777777" w:rsidR="00F16AB1" w:rsidRDefault="0030640C" w:rsidP="00832A9E">
      <w:pPr>
        <w:numPr>
          <w:ilvl w:val="0"/>
          <w:numId w:val="2"/>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Pr>
          <w:rFonts w:ascii="Arial" w:hAnsi="Arial"/>
          <w:color w:val="010000"/>
          <w:sz w:val="20"/>
        </w:rPr>
        <w:t>Mr. Le Minh Tan</w:t>
      </w:r>
    </w:p>
    <w:p w14:paraId="5A243F0D" w14:textId="77777777" w:rsidR="00F16AB1" w:rsidRDefault="0030640C" w:rsidP="00832A9E">
      <w:pPr>
        <w:numPr>
          <w:ilvl w:val="0"/>
          <w:numId w:val="2"/>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Pr>
          <w:rFonts w:ascii="Arial" w:hAnsi="Arial"/>
          <w:color w:val="010000"/>
          <w:sz w:val="20"/>
        </w:rPr>
        <w:t xml:space="preserve">Mr. Le Tuan </w:t>
      </w:r>
      <w:proofErr w:type="spellStart"/>
      <w:r>
        <w:rPr>
          <w:rFonts w:ascii="Arial" w:hAnsi="Arial"/>
          <w:color w:val="010000"/>
          <w:sz w:val="20"/>
        </w:rPr>
        <w:t>Nghia</w:t>
      </w:r>
      <w:proofErr w:type="spellEnd"/>
    </w:p>
    <w:p w14:paraId="3B93C391" w14:textId="77777777" w:rsidR="00F16AB1" w:rsidRDefault="0030640C" w:rsidP="00832A9E">
      <w:pPr>
        <w:numPr>
          <w:ilvl w:val="0"/>
          <w:numId w:val="2"/>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Pr>
          <w:rFonts w:ascii="Arial" w:hAnsi="Arial"/>
          <w:color w:val="010000"/>
          <w:sz w:val="20"/>
        </w:rPr>
        <w:t>Ms. Tieu Thi Bach Duong</w:t>
      </w:r>
    </w:p>
    <w:p w14:paraId="2EC27675" w14:textId="77777777" w:rsidR="00F16AB1" w:rsidRDefault="0030640C" w:rsidP="00832A9E">
      <w:pPr>
        <w:numPr>
          <w:ilvl w:val="0"/>
          <w:numId w:val="2"/>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Pr>
          <w:rFonts w:ascii="Arial" w:hAnsi="Arial"/>
          <w:color w:val="010000"/>
          <w:sz w:val="20"/>
        </w:rPr>
        <w:t xml:space="preserve">Ms. Vu Thi Thu </w:t>
      </w:r>
      <w:proofErr w:type="spellStart"/>
      <w:r>
        <w:rPr>
          <w:rFonts w:ascii="Arial" w:hAnsi="Arial"/>
          <w:color w:val="010000"/>
          <w:sz w:val="20"/>
        </w:rPr>
        <w:t>Hien</w:t>
      </w:r>
      <w:proofErr w:type="spellEnd"/>
    </w:p>
    <w:p w14:paraId="754725BE" w14:textId="77777777" w:rsidR="00F16AB1" w:rsidRDefault="0030640C" w:rsidP="00832A9E">
      <w:pPr>
        <w:numPr>
          <w:ilvl w:val="0"/>
          <w:numId w:val="2"/>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Pr>
          <w:rFonts w:ascii="Arial" w:hAnsi="Arial"/>
          <w:color w:val="010000"/>
          <w:sz w:val="20"/>
        </w:rPr>
        <w:t xml:space="preserve">Ms. Vu Le </w:t>
      </w:r>
      <w:proofErr w:type="spellStart"/>
      <w:r>
        <w:rPr>
          <w:rFonts w:ascii="Arial" w:hAnsi="Arial"/>
          <w:color w:val="010000"/>
          <w:sz w:val="20"/>
        </w:rPr>
        <w:t>Hoa</w:t>
      </w:r>
      <w:proofErr w:type="spellEnd"/>
    </w:p>
    <w:p w14:paraId="457FCF8D" w14:textId="369BC44B" w:rsidR="00F16AB1" w:rsidRDefault="0030640C" w:rsidP="00832A9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Among them, Ms. Vu Le </w:t>
      </w:r>
      <w:proofErr w:type="spellStart"/>
      <w:r w:rsidR="008057F2">
        <w:rPr>
          <w:rFonts w:ascii="Arial" w:hAnsi="Arial"/>
          <w:color w:val="010000"/>
          <w:sz w:val="20"/>
        </w:rPr>
        <w:t>Hoa</w:t>
      </w:r>
      <w:proofErr w:type="spellEnd"/>
      <w:r w:rsidR="008057F2">
        <w:rPr>
          <w:rFonts w:ascii="Arial" w:hAnsi="Arial"/>
          <w:color w:val="010000"/>
          <w:sz w:val="20"/>
        </w:rPr>
        <w:t xml:space="preserve"> is</w:t>
      </w:r>
      <w:r>
        <w:rPr>
          <w:rFonts w:ascii="Arial" w:hAnsi="Arial"/>
          <w:color w:val="010000"/>
          <w:sz w:val="20"/>
        </w:rPr>
        <w:t xml:space="preserve"> an independent member of the Board of Directors for the 2024 - 2029 term.</w:t>
      </w:r>
    </w:p>
    <w:p w14:paraId="534A32DB" w14:textId="77777777" w:rsidR="00F16AB1" w:rsidRDefault="0030640C" w:rsidP="00832A9E">
      <w:pPr>
        <w:numPr>
          <w:ilvl w:val="1"/>
          <w:numId w:val="3"/>
        </w:numPr>
        <w:pBdr>
          <w:top w:val="nil"/>
          <w:left w:val="nil"/>
          <w:bottom w:val="nil"/>
          <w:right w:val="nil"/>
          <w:between w:val="nil"/>
        </w:pBdr>
        <w:tabs>
          <w:tab w:val="left" w:pos="1313"/>
        </w:tabs>
        <w:spacing w:after="120" w:line="360" w:lineRule="auto"/>
        <w:jc w:val="both"/>
        <w:rPr>
          <w:rFonts w:ascii="Arial" w:eastAsia="Arial" w:hAnsi="Arial" w:cs="Arial"/>
          <w:color w:val="010000"/>
          <w:sz w:val="20"/>
          <w:szCs w:val="20"/>
        </w:rPr>
      </w:pPr>
      <w:r>
        <w:rPr>
          <w:rFonts w:ascii="Arial" w:hAnsi="Arial"/>
          <w:color w:val="010000"/>
          <w:sz w:val="20"/>
        </w:rPr>
        <w:t>Members of the Supervisory Board for the term 2024 - 2029:</w:t>
      </w:r>
    </w:p>
    <w:p w14:paraId="608DE535" w14:textId="6F86D2A4" w:rsidR="00F16AB1" w:rsidRDefault="0030640C" w:rsidP="00832A9E">
      <w:pPr>
        <w:numPr>
          <w:ilvl w:val="0"/>
          <w:numId w:val="2"/>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Pr>
          <w:rFonts w:ascii="Arial" w:hAnsi="Arial"/>
          <w:color w:val="010000"/>
          <w:sz w:val="20"/>
        </w:rPr>
        <w:lastRenderedPageBreak/>
        <w:t>Ms.</w:t>
      </w:r>
      <w:r w:rsidR="00CF6D78">
        <w:rPr>
          <w:rFonts w:ascii="Arial" w:hAnsi="Arial"/>
          <w:color w:val="010000"/>
          <w:sz w:val="20"/>
        </w:rPr>
        <w:t xml:space="preserve"> </w:t>
      </w:r>
      <w:r>
        <w:rPr>
          <w:rFonts w:ascii="Arial" w:hAnsi="Arial"/>
          <w:color w:val="010000"/>
          <w:sz w:val="20"/>
        </w:rPr>
        <w:t>Lai Thi Ly</w:t>
      </w:r>
    </w:p>
    <w:p w14:paraId="3E9F0070" w14:textId="77777777" w:rsidR="00F16AB1" w:rsidRDefault="0030640C" w:rsidP="00832A9E">
      <w:pPr>
        <w:numPr>
          <w:ilvl w:val="0"/>
          <w:numId w:val="2"/>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Pr>
          <w:rFonts w:ascii="Arial" w:hAnsi="Arial"/>
          <w:color w:val="010000"/>
          <w:sz w:val="20"/>
        </w:rPr>
        <w:t xml:space="preserve">Ms. Nguyen Thi Hong </w:t>
      </w:r>
      <w:proofErr w:type="spellStart"/>
      <w:r>
        <w:rPr>
          <w:rFonts w:ascii="Arial" w:hAnsi="Arial"/>
          <w:color w:val="010000"/>
          <w:sz w:val="20"/>
        </w:rPr>
        <w:t>Nhung</w:t>
      </w:r>
      <w:proofErr w:type="spellEnd"/>
    </w:p>
    <w:p w14:paraId="74E0AEE3" w14:textId="77777777" w:rsidR="00F16AB1" w:rsidRDefault="0030640C" w:rsidP="00832A9E">
      <w:pPr>
        <w:numPr>
          <w:ilvl w:val="0"/>
          <w:numId w:val="2"/>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Pr>
          <w:rFonts w:ascii="Arial" w:hAnsi="Arial"/>
          <w:color w:val="010000"/>
          <w:sz w:val="20"/>
        </w:rPr>
        <w:t>Ms. Pham Thi Doan</w:t>
      </w:r>
    </w:p>
    <w:p w14:paraId="6AA23160" w14:textId="77777777" w:rsidR="00F16AB1" w:rsidRDefault="0030640C" w:rsidP="00832A9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2. Terms enforcement</w:t>
      </w:r>
    </w:p>
    <w:p w14:paraId="6B4D13E7" w14:textId="5E9FD307" w:rsidR="00F16AB1" w:rsidRDefault="0030640C" w:rsidP="00832A9E">
      <w:pPr>
        <w:numPr>
          <w:ilvl w:val="0"/>
          <w:numId w:val="1"/>
        </w:numPr>
        <w:pBdr>
          <w:top w:val="nil"/>
          <w:left w:val="nil"/>
          <w:bottom w:val="nil"/>
          <w:right w:val="nil"/>
          <w:between w:val="nil"/>
        </w:pBdr>
        <w:tabs>
          <w:tab w:val="left" w:pos="729"/>
        </w:tabs>
        <w:spacing w:after="120" w:line="360" w:lineRule="auto"/>
        <w:jc w:val="both"/>
        <w:rPr>
          <w:rFonts w:ascii="Arial" w:eastAsia="Arial" w:hAnsi="Arial" w:cs="Arial"/>
          <w:color w:val="010000"/>
          <w:sz w:val="20"/>
          <w:szCs w:val="20"/>
        </w:rPr>
      </w:pPr>
      <w:r>
        <w:rPr>
          <w:rFonts w:ascii="Arial" w:hAnsi="Arial"/>
          <w:color w:val="010000"/>
          <w:sz w:val="20"/>
        </w:rPr>
        <w:t xml:space="preserve">This General Mandate was approved and takes effect from the date of signing. </w:t>
      </w:r>
    </w:p>
    <w:p w14:paraId="07017191" w14:textId="77777777" w:rsidR="00F16AB1" w:rsidRDefault="0030640C" w:rsidP="00832A9E">
      <w:pPr>
        <w:numPr>
          <w:ilvl w:val="0"/>
          <w:numId w:val="1"/>
        </w:numPr>
        <w:pBdr>
          <w:top w:val="nil"/>
          <w:left w:val="nil"/>
          <w:bottom w:val="nil"/>
          <w:right w:val="nil"/>
          <w:between w:val="nil"/>
        </w:pBdr>
        <w:tabs>
          <w:tab w:val="left" w:pos="750"/>
        </w:tabs>
        <w:spacing w:after="120" w:line="360" w:lineRule="auto"/>
        <w:jc w:val="both"/>
        <w:rPr>
          <w:rFonts w:ascii="Arial" w:eastAsia="Arial" w:hAnsi="Arial" w:cs="Arial"/>
          <w:color w:val="010000"/>
          <w:sz w:val="20"/>
          <w:szCs w:val="20"/>
        </w:rPr>
      </w:pPr>
      <w:r>
        <w:rPr>
          <w:rFonts w:ascii="Arial" w:hAnsi="Arial"/>
          <w:color w:val="010000"/>
          <w:sz w:val="20"/>
        </w:rPr>
        <w:t>The Board of Directors is responsible for reporting the situation and results of implementation of this General Mandate at the next annual meeting.</w:t>
      </w:r>
    </w:p>
    <w:p w14:paraId="5D6E89D6" w14:textId="77777777" w:rsidR="00F16AB1" w:rsidRDefault="0030640C" w:rsidP="00832A9E">
      <w:pPr>
        <w:numPr>
          <w:ilvl w:val="0"/>
          <w:numId w:val="1"/>
        </w:numPr>
        <w:pBdr>
          <w:top w:val="nil"/>
          <w:left w:val="nil"/>
          <w:bottom w:val="nil"/>
          <w:right w:val="nil"/>
          <w:between w:val="nil"/>
        </w:pBdr>
        <w:tabs>
          <w:tab w:val="left" w:pos="750"/>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assigned the Board of Directors to implement the contents approved by the General Meeting of Shareholders in this Resolution and conduct necessary procedures to comply with law and this General Mandate./.</w:t>
      </w:r>
    </w:p>
    <w:p w14:paraId="74AABF7D" w14:textId="77777777" w:rsidR="00F16AB1" w:rsidRDefault="00F16AB1" w:rsidP="00832A9E">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GoBack"/>
      <w:bookmarkEnd w:id="1"/>
    </w:p>
    <w:sectPr w:rsidR="00F16AB1">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34E72"/>
    <w:multiLevelType w:val="multilevel"/>
    <w:tmpl w:val="4BA433E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96934BE"/>
    <w:multiLevelType w:val="multilevel"/>
    <w:tmpl w:val="3F04CFE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10A39FC"/>
    <w:multiLevelType w:val="multilevel"/>
    <w:tmpl w:val="6BD68AB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AB1"/>
    <w:rsid w:val="00073592"/>
    <w:rsid w:val="00150CBA"/>
    <w:rsid w:val="0030640C"/>
    <w:rsid w:val="005B32D9"/>
    <w:rsid w:val="006A18CB"/>
    <w:rsid w:val="007D7C6B"/>
    <w:rsid w:val="008057F2"/>
    <w:rsid w:val="00832A9E"/>
    <w:rsid w:val="00CD6588"/>
    <w:rsid w:val="00CF6D78"/>
    <w:rsid w:val="00F16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E832E"/>
  <w15:docId w15:val="{07D0A432-6A1F-473D-9C68-1F157FC1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C5677D"/>
      <w:sz w:val="20"/>
      <w:szCs w:val="20"/>
      <w:u w:val="none"/>
      <w:shd w:val="clear" w:color="auto" w:fill="auto"/>
    </w:rPr>
  </w:style>
  <w:style w:type="character" w:customStyle="1" w:styleId="Vnbnnidung2">
    <w:name w:val="Văn bản nội dung (2)_"/>
    <w:basedOn w:val="DefaultParagraphFont"/>
    <w:link w:val="Vnbnnidung20"/>
    <w:rPr>
      <w:rFonts w:ascii="Consolas" w:eastAsia="Consolas" w:hAnsi="Consolas" w:cs="Consolas"/>
      <w:b w:val="0"/>
      <w:bCs w:val="0"/>
      <w:i w:val="0"/>
      <w:iCs w:val="0"/>
      <w:smallCaps w:val="0"/>
      <w:strike w:val="0"/>
      <w:color w:val="C5677D"/>
      <w:sz w:val="24"/>
      <w:szCs w:val="24"/>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strike w:val="0"/>
      <w:color w:val="C5677D"/>
      <w:sz w:val="24"/>
      <w:szCs w:val="24"/>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350" w:lineRule="auto"/>
      <w:ind w:firstLine="400"/>
    </w:pPr>
    <w:rPr>
      <w:rFonts w:ascii="Times New Roman" w:eastAsia="Times New Roman" w:hAnsi="Times New Roman" w:cs="Times New Roman"/>
      <w:sz w:val="20"/>
      <w:szCs w:val="20"/>
    </w:rPr>
  </w:style>
  <w:style w:type="paragraph" w:customStyle="1" w:styleId="Vnbnnidung30">
    <w:name w:val="Văn bản nội dung (3)"/>
    <w:basedOn w:val="Normal"/>
    <w:link w:val="Vnbnnidung3"/>
    <w:pPr>
      <w:jc w:val="right"/>
    </w:pPr>
    <w:rPr>
      <w:rFonts w:ascii="Arial" w:eastAsia="Arial" w:hAnsi="Arial" w:cs="Arial"/>
      <w:color w:val="C5677D"/>
      <w:sz w:val="20"/>
      <w:szCs w:val="20"/>
    </w:rPr>
  </w:style>
  <w:style w:type="paragraph" w:customStyle="1" w:styleId="Vnbnnidung20">
    <w:name w:val="Văn bản nội dung (2)"/>
    <w:basedOn w:val="Normal"/>
    <w:link w:val="Vnbnnidung2"/>
    <w:pPr>
      <w:spacing w:line="230" w:lineRule="auto"/>
      <w:jc w:val="center"/>
    </w:pPr>
    <w:rPr>
      <w:rFonts w:ascii="Consolas" w:eastAsia="Consolas" w:hAnsi="Consolas" w:cs="Consolas"/>
      <w:color w:val="C5677D"/>
    </w:rPr>
  </w:style>
  <w:style w:type="paragraph" w:customStyle="1" w:styleId="Vnbnnidung40">
    <w:name w:val="Văn bản nội dung (4)"/>
    <w:basedOn w:val="Normal"/>
    <w:link w:val="Vnbnnidung4"/>
    <w:pPr>
      <w:jc w:val="right"/>
    </w:pPr>
    <w:rPr>
      <w:rFonts w:ascii="Arial" w:eastAsia="Arial" w:hAnsi="Arial" w:cs="Arial"/>
      <w:smallCaps/>
      <w:color w:val="C5677D"/>
    </w:rPr>
  </w:style>
  <w:style w:type="paragraph" w:customStyle="1" w:styleId="Chthchbng0">
    <w:name w:val="Chú thích bảng"/>
    <w:basedOn w:val="Normal"/>
    <w:link w:val="Chthchbng"/>
    <w:pPr>
      <w:spacing w:line="420" w:lineRule="auto"/>
      <w:ind w:firstLine="400"/>
    </w:pPr>
    <w:rPr>
      <w:rFonts w:ascii="Times New Roman" w:eastAsia="Times New Roman" w:hAnsi="Times New Roman" w:cs="Times New Roman"/>
      <w:sz w:val="20"/>
      <w:szCs w:val="20"/>
    </w:rPr>
  </w:style>
  <w:style w:type="paragraph" w:customStyle="1" w:styleId="Khc0">
    <w:name w:val="Khác"/>
    <w:basedOn w:val="Normal"/>
    <w:link w:val="Khc"/>
    <w:pPr>
      <w:spacing w:line="350" w:lineRule="auto"/>
      <w:ind w:firstLine="40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h2TsXbMevxeJ2SpBd6o/n+98Dg==">CgMxLjAyCGguZ2pkZ3hzOAByITFLQ1JMX3pwcmd2UmxaR3dCS2dUQlUxNmJ5bndQWmJ5VA==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3010</Characters>
  <Application>Microsoft Office Word</Application>
  <DocSecurity>0</DocSecurity>
  <Lines>25</Lines>
  <Paragraphs>7</Paragraphs>
  <ScaleCrop>false</ScaleCrop>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11</cp:revision>
  <dcterms:created xsi:type="dcterms:W3CDTF">2024-05-07T02:50:00Z</dcterms:created>
  <dcterms:modified xsi:type="dcterms:W3CDTF">2024-05-08T04:18:00Z</dcterms:modified>
</cp:coreProperties>
</file>