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9D70" w14:textId="77777777" w:rsidR="00C62354" w:rsidRPr="005923CF" w:rsidRDefault="005923CF" w:rsidP="005923CF">
      <w:pPr>
        <w:tabs>
          <w:tab w:val="left" w:pos="0"/>
        </w:tabs>
        <w:spacing w:after="120" w:line="360" w:lineRule="auto"/>
        <w:rPr>
          <w:rFonts w:ascii="Arial" w:eastAsia="Arial" w:hAnsi="Arial" w:cs="Arial"/>
          <w:b/>
          <w:color w:val="010000"/>
          <w:sz w:val="20"/>
          <w:szCs w:val="20"/>
        </w:rPr>
      </w:pPr>
      <w:r>
        <w:rPr>
          <w:rFonts w:ascii="Arial" w:hAnsi="Arial"/>
          <w:b/>
          <w:color w:val="010000"/>
          <w:sz w:val="20"/>
        </w:rPr>
        <w:t>CAR: Annual General Mandate 2024</w:t>
      </w:r>
    </w:p>
    <w:p w14:paraId="1A4CB1E6"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On April 26, 2024, Tri Viet Education Group Joint Stock Company announced General Mandate No. 264/2024/NQ-DHDCD as follows:</w:t>
      </w:r>
    </w:p>
    <w:p w14:paraId="0B5180BA" w14:textId="16E4D11C" w:rsidR="00C62354" w:rsidRPr="005923CF" w:rsidRDefault="005923CF" w:rsidP="000D6C93">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Report on the Board of </w:t>
      </w:r>
      <w:r w:rsidR="000D6C93">
        <w:rPr>
          <w:rFonts w:ascii="Arial" w:hAnsi="Arial"/>
          <w:color w:val="010000"/>
          <w:sz w:val="20"/>
        </w:rPr>
        <w:t>Directors</w:t>
      </w:r>
      <w:r>
        <w:rPr>
          <w:rFonts w:ascii="Arial" w:hAnsi="Arial"/>
          <w:color w:val="010000"/>
          <w:sz w:val="20"/>
        </w:rPr>
        <w:t xml:space="preserve"> activities in 2023 and operational plan in 2024;</w:t>
      </w:r>
    </w:p>
    <w:p w14:paraId="50C40D93" w14:textId="77777777" w:rsidR="00C62354" w:rsidRPr="005923CF" w:rsidRDefault="005923CF" w:rsidP="000D6C93">
      <w:pPr>
        <w:numPr>
          <w:ilvl w:val="0"/>
          <w:numId w:val="2"/>
        </w:numPr>
        <w:pBdr>
          <w:top w:val="nil"/>
          <w:left w:val="nil"/>
          <w:bottom w:val="nil"/>
          <w:right w:val="nil"/>
          <w:between w:val="nil"/>
        </w:pBdr>
        <w:tabs>
          <w:tab w:val="left" w:pos="0"/>
          <w:tab w:val="left" w:pos="142"/>
        </w:tabs>
        <w:spacing w:after="120" w:line="360" w:lineRule="auto"/>
        <w:ind w:left="0" w:firstLine="0"/>
        <w:rPr>
          <w:rFonts w:ascii="Arial" w:eastAsia="Arial" w:hAnsi="Arial" w:cs="Arial"/>
          <w:color w:val="010000"/>
          <w:sz w:val="20"/>
          <w:szCs w:val="20"/>
        </w:rPr>
      </w:pPr>
      <w:r>
        <w:rPr>
          <w:rFonts w:ascii="Arial" w:hAnsi="Arial"/>
          <w:color w:val="010000"/>
          <w:sz w:val="20"/>
        </w:rPr>
        <w:t>Report on business results 2023 and operating plan 2024 of the Board of Management;</w:t>
      </w:r>
    </w:p>
    <w:p w14:paraId="0C49AE7A" w14:textId="4CD0F2B9" w:rsidR="00C62354" w:rsidRPr="005923CF" w:rsidRDefault="005923CF" w:rsidP="005923CF">
      <w:pPr>
        <w:pBdr>
          <w:top w:val="nil"/>
          <w:left w:val="nil"/>
          <w:bottom w:val="nil"/>
          <w:right w:val="nil"/>
          <w:between w:val="nil"/>
        </w:pBdr>
        <w:tabs>
          <w:tab w:val="left" w:pos="0"/>
          <w:tab w:val="left" w:pos="8902"/>
        </w:tabs>
        <w:spacing w:after="120" w:line="360" w:lineRule="auto"/>
        <w:rPr>
          <w:rFonts w:ascii="Arial" w:eastAsia="Arial" w:hAnsi="Arial" w:cs="Arial"/>
          <w:color w:val="010000"/>
          <w:sz w:val="20"/>
          <w:szCs w:val="20"/>
        </w:rPr>
      </w:pPr>
      <w:r>
        <w:rPr>
          <w:rFonts w:ascii="Arial" w:hAnsi="Arial"/>
          <w:color w:val="010000"/>
          <w:sz w:val="20"/>
        </w:rPr>
        <w:t xml:space="preserve">Business </w:t>
      </w:r>
      <w:r w:rsidR="000D6C93">
        <w:rPr>
          <w:rFonts w:ascii="Arial" w:hAnsi="Arial"/>
          <w:color w:val="010000"/>
          <w:sz w:val="20"/>
        </w:rPr>
        <w:t>Results</w:t>
      </w:r>
      <w:r>
        <w:rPr>
          <w:rFonts w:ascii="Arial" w:hAnsi="Arial"/>
          <w:color w:val="010000"/>
          <w:sz w:val="20"/>
        </w:rPr>
        <w:t xml:space="preserve"> 2023:</w:t>
      </w:r>
    </w:p>
    <w:p w14:paraId="01B72B48" w14:textId="77777777" w:rsidR="00C62354" w:rsidRPr="005923CF" w:rsidRDefault="005923CF" w:rsidP="005923CF">
      <w:pPr>
        <w:pBdr>
          <w:top w:val="nil"/>
          <w:left w:val="nil"/>
          <w:bottom w:val="nil"/>
          <w:right w:val="nil"/>
          <w:between w:val="nil"/>
        </w:pBdr>
        <w:tabs>
          <w:tab w:val="left" w:pos="0"/>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2"/>
        <w:gridCol w:w="2200"/>
        <w:gridCol w:w="2011"/>
        <w:gridCol w:w="2011"/>
        <w:gridCol w:w="2153"/>
      </w:tblGrid>
      <w:tr w:rsidR="00C62354" w:rsidRPr="005923CF" w14:paraId="41EBD62F" w14:textId="77777777" w:rsidTr="005923CF">
        <w:trPr>
          <w:jc w:val="center"/>
        </w:trPr>
        <w:tc>
          <w:tcPr>
            <w:tcW w:w="356" w:type="pct"/>
            <w:shd w:val="clear" w:color="auto" w:fill="auto"/>
            <w:tcMar>
              <w:top w:w="0" w:type="dxa"/>
              <w:bottom w:w="0" w:type="dxa"/>
            </w:tcMar>
            <w:vAlign w:val="center"/>
          </w:tcPr>
          <w:p w14:paraId="6B041C08"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20" w:type="pct"/>
            <w:shd w:val="clear" w:color="auto" w:fill="auto"/>
            <w:tcMar>
              <w:top w:w="0" w:type="dxa"/>
              <w:bottom w:w="0" w:type="dxa"/>
            </w:tcMar>
            <w:vAlign w:val="center"/>
          </w:tcPr>
          <w:p w14:paraId="17B44590"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115" w:type="pct"/>
            <w:shd w:val="clear" w:color="auto" w:fill="auto"/>
            <w:tcMar>
              <w:top w:w="0" w:type="dxa"/>
              <w:bottom w:w="0" w:type="dxa"/>
            </w:tcMar>
            <w:vAlign w:val="center"/>
          </w:tcPr>
          <w:p w14:paraId="79DD6A05"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115" w:type="pct"/>
            <w:shd w:val="clear" w:color="auto" w:fill="auto"/>
            <w:tcMar>
              <w:top w:w="0" w:type="dxa"/>
              <w:bottom w:w="0" w:type="dxa"/>
            </w:tcMar>
            <w:vAlign w:val="center"/>
          </w:tcPr>
          <w:p w14:paraId="3E39314F"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Results 2022</w:t>
            </w:r>
          </w:p>
        </w:tc>
        <w:tc>
          <w:tcPr>
            <w:tcW w:w="1194" w:type="pct"/>
            <w:shd w:val="clear" w:color="auto" w:fill="auto"/>
            <w:tcMar>
              <w:top w:w="0" w:type="dxa"/>
              <w:bottom w:w="0" w:type="dxa"/>
            </w:tcMar>
            <w:vAlign w:val="center"/>
          </w:tcPr>
          <w:p w14:paraId="33258854"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 xml:space="preserve">Growth rate </w:t>
            </w:r>
          </w:p>
        </w:tc>
      </w:tr>
      <w:tr w:rsidR="00C62354" w:rsidRPr="005923CF" w14:paraId="23D8BE8C" w14:textId="77777777" w:rsidTr="005923CF">
        <w:trPr>
          <w:jc w:val="center"/>
        </w:trPr>
        <w:tc>
          <w:tcPr>
            <w:tcW w:w="356" w:type="pct"/>
            <w:shd w:val="clear" w:color="auto" w:fill="auto"/>
            <w:tcMar>
              <w:top w:w="0" w:type="dxa"/>
              <w:bottom w:w="0" w:type="dxa"/>
            </w:tcMar>
            <w:vAlign w:val="center"/>
          </w:tcPr>
          <w:p w14:paraId="0F84907C"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20" w:type="pct"/>
            <w:shd w:val="clear" w:color="auto" w:fill="auto"/>
            <w:tcMar>
              <w:top w:w="0" w:type="dxa"/>
              <w:bottom w:w="0" w:type="dxa"/>
            </w:tcMar>
            <w:vAlign w:val="center"/>
          </w:tcPr>
          <w:p w14:paraId="6BA79C7E"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Total assets</w:t>
            </w:r>
          </w:p>
        </w:tc>
        <w:tc>
          <w:tcPr>
            <w:tcW w:w="1115" w:type="pct"/>
            <w:shd w:val="clear" w:color="auto" w:fill="auto"/>
            <w:tcMar>
              <w:top w:w="0" w:type="dxa"/>
              <w:bottom w:w="0" w:type="dxa"/>
            </w:tcMar>
            <w:vAlign w:val="center"/>
          </w:tcPr>
          <w:p w14:paraId="182B7780"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49,557,846,457</w:t>
            </w:r>
          </w:p>
        </w:tc>
        <w:tc>
          <w:tcPr>
            <w:tcW w:w="1115" w:type="pct"/>
            <w:shd w:val="clear" w:color="auto" w:fill="auto"/>
            <w:tcMar>
              <w:top w:w="0" w:type="dxa"/>
              <w:bottom w:w="0" w:type="dxa"/>
            </w:tcMar>
            <w:vAlign w:val="center"/>
          </w:tcPr>
          <w:p w14:paraId="5694285D"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47,873,818,370</w:t>
            </w:r>
          </w:p>
        </w:tc>
        <w:tc>
          <w:tcPr>
            <w:tcW w:w="1194" w:type="pct"/>
            <w:shd w:val="clear" w:color="auto" w:fill="auto"/>
            <w:tcMar>
              <w:top w:w="0" w:type="dxa"/>
              <w:bottom w:w="0" w:type="dxa"/>
            </w:tcMar>
            <w:vAlign w:val="center"/>
          </w:tcPr>
          <w:p w14:paraId="0CDD60D7"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104%</w:t>
            </w:r>
          </w:p>
        </w:tc>
      </w:tr>
      <w:tr w:rsidR="00C62354" w:rsidRPr="005923CF" w14:paraId="29B93ECB" w14:textId="77777777" w:rsidTr="005923CF">
        <w:trPr>
          <w:jc w:val="center"/>
        </w:trPr>
        <w:tc>
          <w:tcPr>
            <w:tcW w:w="356" w:type="pct"/>
            <w:shd w:val="clear" w:color="auto" w:fill="auto"/>
            <w:tcMar>
              <w:top w:w="0" w:type="dxa"/>
              <w:bottom w:w="0" w:type="dxa"/>
            </w:tcMar>
            <w:vAlign w:val="center"/>
          </w:tcPr>
          <w:p w14:paraId="4D12BB4E"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20" w:type="pct"/>
            <w:shd w:val="clear" w:color="auto" w:fill="auto"/>
            <w:tcMar>
              <w:top w:w="0" w:type="dxa"/>
              <w:bottom w:w="0" w:type="dxa"/>
            </w:tcMar>
            <w:vAlign w:val="center"/>
          </w:tcPr>
          <w:p w14:paraId="62A86CE3"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Payables</w:t>
            </w:r>
          </w:p>
        </w:tc>
        <w:tc>
          <w:tcPr>
            <w:tcW w:w="1115" w:type="pct"/>
            <w:shd w:val="clear" w:color="auto" w:fill="auto"/>
            <w:tcMar>
              <w:top w:w="0" w:type="dxa"/>
              <w:bottom w:w="0" w:type="dxa"/>
            </w:tcMar>
            <w:vAlign w:val="center"/>
          </w:tcPr>
          <w:p w14:paraId="72661A3A"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6,899,953,823</w:t>
            </w:r>
          </w:p>
        </w:tc>
        <w:tc>
          <w:tcPr>
            <w:tcW w:w="1115" w:type="pct"/>
            <w:shd w:val="clear" w:color="auto" w:fill="auto"/>
            <w:tcMar>
              <w:top w:w="0" w:type="dxa"/>
              <w:bottom w:w="0" w:type="dxa"/>
            </w:tcMar>
            <w:vAlign w:val="center"/>
          </w:tcPr>
          <w:p w14:paraId="52091423"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8,808,457,515</w:t>
            </w:r>
          </w:p>
        </w:tc>
        <w:tc>
          <w:tcPr>
            <w:tcW w:w="1194" w:type="pct"/>
            <w:shd w:val="clear" w:color="auto" w:fill="auto"/>
            <w:tcMar>
              <w:top w:w="0" w:type="dxa"/>
              <w:bottom w:w="0" w:type="dxa"/>
            </w:tcMar>
            <w:vAlign w:val="center"/>
          </w:tcPr>
          <w:p w14:paraId="4156604D"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78%</w:t>
            </w:r>
          </w:p>
        </w:tc>
      </w:tr>
      <w:tr w:rsidR="00C62354" w:rsidRPr="005923CF" w14:paraId="0AA55D37" w14:textId="77777777" w:rsidTr="005923CF">
        <w:trPr>
          <w:jc w:val="center"/>
        </w:trPr>
        <w:tc>
          <w:tcPr>
            <w:tcW w:w="356" w:type="pct"/>
            <w:shd w:val="clear" w:color="auto" w:fill="auto"/>
            <w:tcMar>
              <w:top w:w="0" w:type="dxa"/>
              <w:bottom w:w="0" w:type="dxa"/>
            </w:tcMar>
            <w:vAlign w:val="center"/>
          </w:tcPr>
          <w:p w14:paraId="42AABCE6"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220" w:type="pct"/>
            <w:shd w:val="clear" w:color="auto" w:fill="auto"/>
            <w:tcMar>
              <w:top w:w="0" w:type="dxa"/>
              <w:bottom w:w="0" w:type="dxa"/>
            </w:tcMar>
            <w:vAlign w:val="center"/>
          </w:tcPr>
          <w:p w14:paraId="2B1DA483"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Owners’ equity</w:t>
            </w:r>
          </w:p>
        </w:tc>
        <w:tc>
          <w:tcPr>
            <w:tcW w:w="1115" w:type="pct"/>
            <w:shd w:val="clear" w:color="auto" w:fill="auto"/>
            <w:tcMar>
              <w:top w:w="0" w:type="dxa"/>
              <w:bottom w:w="0" w:type="dxa"/>
            </w:tcMar>
            <w:vAlign w:val="center"/>
          </w:tcPr>
          <w:p w14:paraId="2B3D1114"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42,657,892,634</w:t>
            </w:r>
          </w:p>
        </w:tc>
        <w:tc>
          <w:tcPr>
            <w:tcW w:w="1115" w:type="pct"/>
            <w:shd w:val="clear" w:color="auto" w:fill="auto"/>
            <w:tcMar>
              <w:top w:w="0" w:type="dxa"/>
              <w:bottom w:w="0" w:type="dxa"/>
            </w:tcMar>
            <w:vAlign w:val="center"/>
          </w:tcPr>
          <w:p w14:paraId="60C4FDC9"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39,065,360,855</w:t>
            </w:r>
          </w:p>
        </w:tc>
        <w:tc>
          <w:tcPr>
            <w:tcW w:w="1194" w:type="pct"/>
            <w:shd w:val="clear" w:color="auto" w:fill="auto"/>
            <w:tcMar>
              <w:top w:w="0" w:type="dxa"/>
              <w:bottom w:w="0" w:type="dxa"/>
            </w:tcMar>
            <w:vAlign w:val="center"/>
          </w:tcPr>
          <w:p w14:paraId="0048F9D7"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109%</w:t>
            </w:r>
          </w:p>
        </w:tc>
      </w:tr>
      <w:tr w:rsidR="00C62354" w:rsidRPr="005923CF" w14:paraId="00CBF903" w14:textId="77777777" w:rsidTr="005923CF">
        <w:trPr>
          <w:jc w:val="center"/>
        </w:trPr>
        <w:tc>
          <w:tcPr>
            <w:tcW w:w="356" w:type="pct"/>
            <w:shd w:val="clear" w:color="auto" w:fill="auto"/>
            <w:tcMar>
              <w:top w:w="0" w:type="dxa"/>
              <w:bottom w:w="0" w:type="dxa"/>
            </w:tcMar>
            <w:vAlign w:val="center"/>
          </w:tcPr>
          <w:p w14:paraId="04F5ABA0"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220" w:type="pct"/>
            <w:shd w:val="clear" w:color="auto" w:fill="auto"/>
            <w:tcMar>
              <w:top w:w="0" w:type="dxa"/>
              <w:bottom w:w="0" w:type="dxa"/>
            </w:tcMar>
            <w:vAlign w:val="center"/>
          </w:tcPr>
          <w:p w14:paraId="5FC5D428"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Net revenue</w:t>
            </w:r>
          </w:p>
        </w:tc>
        <w:tc>
          <w:tcPr>
            <w:tcW w:w="1115" w:type="pct"/>
            <w:shd w:val="clear" w:color="auto" w:fill="auto"/>
            <w:tcMar>
              <w:top w:w="0" w:type="dxa"/>
              <w:bottom w:w="0" w:type="dxa"/>
            </w:tcMar>
            <w:vAlign w:val="center"/>
          </w:tcPr>
          <w:p w14:paraId="4368F892"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40,508,302,285</w:t>
            </w:r>
          </w:p>
        </w:tc>
        <w:tc>
          <w:tcPr>
            <w:tcW w:w="1115" w:type="pct"/>
            <w:shd w:val="clear" w:color="auto" w:fill="auto"/>
            <w:tcMar>
              <w:top w:w="0" w:type="dxa"/>
              <w:bottom w:w="0" w:type="dxa"/>
            </w:tcMar>
            <w:vAlign w:val="center"/>
          </w:tcPr>
          <w:p w14:paraId="2D14DD85"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29,812,631,077</w:t>
            </w:r>
          </w:p>
        </w:tc>
        <w:tc>
          <w:tcPr>
            <w:tcW w:w="1194" w:type="pct"/>
            <w:shd w:val="clear" w:color="auto" w:fill="auto"/>
            <w:tcMar>
              <w:top w:w="0" w:type="dxa"/>
              <w:bottom w:w="0" w:type="dxa"/>
            </w:tcMar>
            <w:vAlign w:val="center"/>
          </w:tcPr>
          <w:p w14:paraId="1483010C"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136%</w:t>
            </w:r>
          </w:p>
        </w:tc>
      </w:tr>
      <w:tr w:rsidR="00C62354" w:rsidRPr="005923CF" w14:paraId="6FF0AC66" w14:textId="77777777" w:rsidTr="005923CF">
        <w:trPr>
          <w:jc w:val="center"/>
        </w:trPr>
        <w:tc>
          <w:tcPr>
            <w:tcW w:w="356" w:type="pct"/>
            <w:shd w:val="clear" w:color="auto" w:fill="auto"/>
            <w:tcMar>
              <w:top w:w="0" w:type="dxa"/>
              <w:bottom w:w="0" w:type="dxa"/>
            </w:tcMar>
            <w:vAlign w:val="center"/>
          </w:tcPr>
          <w:p w14:paraId="2C1C9ECA"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220" w:type="pct"/>
            <w:shd w:val="clear" w:color="auto" w:fill="auto"/>
            <w:tcMar>
              <w:top w:w="0" w:type="dxa"/>
              <w:bottom w:w="0" w:type="dxa"/>
            </w:tcMar>
            <w:vAlign w:val="center"/>
          </w:tcPr>
          <w:p w14:paraId="610475C9"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115" w:type="pct"/>
            <w:shd w:val="clear" w:color="auto" w:fill="auto"/>
            <w:tcMar>
              <w:top w:w="0" w:type="dxa"/>
              <w:bottom w:w="0" w:type="dxa"/>
            </w:tcMar>
            <w:vAlign w:val="center"/>
          </w:tcPr>
          <w:p w14:paraId="03279387"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4,593,661,183</w:t>
            </w:r>
          </w:p>
        </w:tc>
        <w:tc>
          <w:tcPr>
            <w:tcW w:w="1115" w:type="pct"/>
            <w:shd w:val="clear" w:color="auto" w:fill="auto"/>
            <w:tcMar>
              <w:top w:w="0" w:type="dxa"/>
              <w:bottom w:w="0" w:type="dxa"/>
            </w:tcMar>
            <w:vAlign w:val="center"/>
          </w:tcPr>
          <w:p w14:paraId="20534244"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5,048,941,168</w:t>
            </w:r>
          </w:p>
        </w:tc>
        <w:tc>
          <w:tcPr>
            <w:tcW w:w="1194" w:type="pct"/>
            <w:shd w:val="clear" w:color="auto" w:fill="auto"/>
            <w:tcMar>
              <w:top w:w="0" w:type="dxa"/>
              <w:bottom w:w="0" w:type="dxa"/>
            </w:tcMar>
            <w:vAlign w:val="center"/>
          </w:tcPr>
          <w:p w14:paraId="3521E23A"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91%</w:t>
            </w:r>
          </w:p>
        </w:tc>
      </w:tr>
      <w:tr w:rsidR="00C62354" w:rsidRPr="005923CF" w14:paraId="1E068163" w14:textId="77777777" w:rsidTr="005923CF">
        <w:trPr>
          <w:jc w:val="center"/>
        </w:trPr>
        <w:tc>
          <w:tcPr>
            <w:tcW w:w="356" w:type="pct"/>
            <w:shd w:val="clear" w:color="auto" w:fill="auto"/>
            <w:tcMar>
              <w:top w:w="0" w:type="dxa"/>
              <w:bottom w:w="0" w:type="dxa"/>
            </w:tcMar>
            <w:vAlign w:val="center"/>
          </w:tcPr>
          <w:p w14:paraId="7F12C361"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220" w:type="pct"/>
            <w:shd w:val="clear" w:color="auto" w:fill="auto"/>
            <w:tcMar>
              <w:top w:w="0" w:type="dxa"/>
              <w:bottom w:w="0" w:type="dxa"/>
            </w:tcMar>
            <w:vAlign w:val="center"/>
          </w:tcPr>
          <w:p w14:paraId="0DDE6A09"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115" w:type="pct"/>
            <w:shd w:val="clear" w:color="auto" w:fill="auto"/>
            <w:tcMar>
              <w:top w:w="0" w:type="dxa"/>
              <w:bottom w:w="0" w:type="dxa"/>
            </w:tcMar>
            <w:vAlign w:val="center"/>
          </w:tcPr>
          <w:p w14:paraId="2896903F"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3,592,531,779</w:t>
            </w:r>
          </w:p>
        </w:tc>
        <w:tc>
          <w:tcPr>
            <w:tcW w:w="1115" w:type="pct"/>
            <w:shd w:val="clear" w:color="auto" w:fill="auto"/>
            <w:tcMar>
              <w:top w:w="0" w:type="dxa"/>
              <w:bottom w:w="0" w:type="dxa"/>
            </w:tcMar>
            <w:vAlign w:val="center"/>
          </w:tcPr>
          <w:p w14:paraId="33288479"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4,038,452,934</w:t>
            </w:r>
          </w:p>
        </w:tc>
        <w:tc>
          <w:tcPr>
            <w:tcW w:w="1194" w:type="pct"/>
            <w:shd w:val="clear" w:color="auto" w:fill="auto"/>
            <w:tcMar>
              <w:top w:w="0" w:type="dxa"/>
              <w:bottom w:w="0" w:type="dxa"/>
            </w:tcMar>
            <w:vAlign w:val="center"/>
          </w:tcPr>
          <w:p w14:paraId="346EE9A7"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89%</w:t>
            </w:r>
          </w:p>
        </w:tc>
      </w:tr>
    </w:tbl>
    <w:p w14:paraId="7A9E8502" w14:textId="77777777" w:rsidR="00C62354" w:rsidRPr="005923CF" w:rsidRDefault="005923CF" w:rsidP="005923CF">
      <w:pPr>
        <w:pBdr>
          <w:top w:val="nil"/>
          <w:left w:val="nil"/>
          <w:bottom w:val="nil"/>
          <w:right w:val="nil"/>
          <w:between w:val="nil"/>
        </w:pBdr>
        <w:tabs>
          <w:tab w:val="left" w:pos="0"/>
          <w:tab w:val="left" w:pos="8902"/>
        </w:tabs>
        <w:spacing w:after="120" w:line="360" w:lineRule="auto"/>
        <w:rPr>
          <w:rFonts w:ascii="Arial" w:eastAsia="Arial" w:hAnsi="Arial" w:cs="Arial"/>
          <w:color w:val="010000"/>
          <w:sz w:val="20"/>
          <w:szCs w:val="20"/>
        </w:rPr>
      </w:pPr>
      <w:r>
        <w:rPr>
          <w:rFonts w:ascii="Arial" w:hAnsi="Arial"/>
          <w:color w:val="010000"/>
          <w:sz w:val="20"/>
        </w:rPr>
        <w:t>Business plan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9"/>
        <w:gridCol w:w="4364"/>
        <w:gridCol w:w="3964"/>
      </w:tblGrid>
      <w:tr w:rsidR="00C62354" w:rsidRPr="005923CF" w14:paraId="02617A70" w14:textId="77777777" w:rsidTr="005923CF">
        <w:trPr>
          <w:tblHeader/>
        </w:trPr>
        <w:tc>
          <w:tcPr>
            <w:tcW w:w="382" w:type="pct"/>
            <w:shd w:val="clear" w:color="auto" w:fill="auto"/>
            <w:tcMar>
              <w:top w:w="0" w:type="dxa"/>
              <w:bottom w:w="0" w:type="dxa"/>
            </w:tcMar>
            <w:vAlign w:val="center"/>
          </w:tcPr>
          <w:p w14:paraId="2E6199F6"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20" w:type="pct"/>
            <w:shd w:val="clear" w:color="auto" w:fill="auto"/>
            <w:tcMar>
              <w:top w:w="0" w:type="dxa"/>
              <w:bottom w:w="0" w:type="dxa"/>
            </w:tcMar>
            <w:vAlign w:val="center"/>
          </w:tcPr>
          <w:p w14:paraId="715C2C22"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2198" w:type="pct"/>
            <w:shd w:val="clear" w:color="auto" w:fill="auto"/>
            <w:tcMar>
              <w:top w:w="0" w:type="dxa"/>
              <w:bottom w:w="0" w:type="dxa"/>
            </w:tcMar>
            <w:vAlign w:val="center"/>
          </w:tcPr>
          <w:p w14:paraId="78161646"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Plan 2024 (VND)</w:t>
            </w:r>
          </w:p>
        </w:tc>
      </w:tr>
      <w:tr w:rsidR="00C62354" w:rsidRPr="005923CF" w14:paraId="5C9C9E6C" w14:textId="77777777" w:rsidTr="005923CF">
        <w:tc>
          <w:tcPr>
            <w:tcW w:w="382" w:type="pct"/>
            <w:shd w:val="clear" w:color="auto" w:fill="auto"/>
            <w:tcMar>
              <w:top w:w="0" w:type="dxa"/>
              <w:bottom w:w="0" w:type="dxa"/>
            </w:tcMar>
            <w:vAlign w:val="center"/>
          </w:tcPr>
          <w:p w14:paraId="70A2C9AA"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20" w:type="pct"/>
            <w:shd w:val="clear" w:color="auto" w:fill="auto"/>
            <w:tcMar>
              <w:top w:w="0" w:type="dxa"/>
              <w:bottom w:w="0" w:type="dxa"/>
            </w:tcMar>
            <w:vAlign w:val="center"/>
          </w:tcPr>
          <w:p w14:paraId="301F7AB1"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Net revenue</w:t>
            </w:r>
          </w:p>
        </w:tc>
        <w:tc>
          <w:tcPr>
            <w:tcW w:w="2198" w:type="pct"/>
            <w:shd w:val="clear" w:color="auto" w:fill="auto"/>
            <w:tcMar>
              <w:top w:w="0" w:type="dxa"/>
              <w:bottom w:w="0" w:type="dxa"/>
            </w:tcMar>
            <w:vAlign w:val="center"/>
          </w:tcPr>
          <w:p w14:paraId="42B2B37D"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50,500,000,000</w:t>
            </w:r>
          </w:p>
        </w:tc>
      </w:tr>
      <w:tr w:rsidR="00C62354" w:rsidRPr="005923CF" w14:paraId="274BC478" w14:textId="77777777" w:rsidTr="005923CF">
        <w:tc>
          <w:tcPr>
            <w:tcW w:w="382" w:type="pct"/>
            <w:shd w:val="clear" w:color="auto" w:fill="auto"/>
            <w:tcMar>
              <w:top w:w="0" w:type="dxa"/>
              <w:bottom w:w="0" w:type="dxa"/>
            </w:tcMar>
            <w:vAlign w:val="center"/>
          </w:tcPr>
          <w:p w14:paraId="7F76712B"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20" w:type="pct"/>
            <w:shd w:val="clear" w:color="auto" w:fill="auto"/>
            <w:tcMar>
              <w:top w:w="0" w:type="dxa"/>
              <w:bottom w:w="0" w:type="dxa"/>
            </w:tcMar>
            <w:vAlign w:val="center"/>
          </w:tcPr>
          <w:p w14:paraId="7DE079F3"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198" w:type="pct"/>
            <w:shd w:val="clear" w:color="auto" w:fill="auto"/>
            <w:tcMar>
              <w:top w:w="0" w:type="dxa"/>
              <w:bottom w:w="0" w:type="dxa"/>
            </w:tcMar>
            <w:vAlign w:val="center"/>
          </w:tcPr>
          <w:p w14:paraId="27B35EE2"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6,500,000,000</w:t>
            </w:r>
          </w:p>
        </w:tc>
      </w:tr>
      <w:tr w:rsidR="00C62354" w:rsidRPr="005923CF" w14:paraId="3C926DFE" w14:textId="77777777" w:rsidTr="005923CF">
        <w:tc>
          <w:tcPr>
            <w:tcW w:w="382" w:type="pct"/>
            <w:shd w:val="clear" w:color="auto" w:fill="auto"/>
            <w:tcMar>
              <w:top w:w="0" w:type="dxa"/>
              <w:bottom w:w="0" w:type="dxa"/>
            </w:tcMar>
            <w:vAlign w:val="center"/>
          </w:tcPr>
          <w:p w14:paraId="20BCE432"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20" w:type="pct"/>
            <w:shd w:val="clear" w:color="auto" w:fill="auto"/>
            <w:tcMar>
              <w:top w:w="0" w:type="dxa"/>
              <w:bottom w:w="0" w:type="dxa"/>
            </w:tcMar>
            <w:vAlign w:val="center"/>
          </w:tcPr>
          <w:p w14:paraId="098B1946"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2198" w:type="pct"/>
            <w:shd w:val="clear" w:color="auto" w:fill="auto"/>
            <w:tcMar>
              <w:top w:w="0" w:type="dxa"/>
              <w:bottom w:w="0" w:type="dxa"/>
            </w:tcMar>
            <w:vAlign w:val="center"/>
          </w:tcPr>
          <w:p w14:paraId="3855545E" w14:textId="77777777" w:rsidR="00C62354" w:rsidRPr="005923CF" w:rsidRDefault="005923CF" w:rsidP="005923CF">
            <w:pPr>
              <w:pBdr>
                <w:top w:val="nil"/>
                <w:left w:val="nil"/>
                <w:bottom w:val="nil"/>
                <w:right w:val="nil"/>
                <w:between w:val="nil"/>
              </w:pBdr>
              <w:tabs>
                <w:tab w:val="left" w:pos="0"/>
              </w:tabs>
              <w:spacing w:after="120" w:line="360" w:lineRule="auto"/>
              <w:jc w:val="center"/>
              <w:rPr>
                <w:rFonts w:ascii="Arial" w:eastAsia="Arial" w:hAnsi="Arial" w:cs="Arial"/>
                <w:color w:val="010000"/>
                <w:sz w:val="20"/>
                <w:szCs w:val="20"/>
              </w:rPr>
            </w:pPr>
            <w:r>
              <w:rPr>
                <w:rFonts w:ascii="Arial" w:hAnsi="Arial"/>
                <w:color w:val="010000"/>
                <w:sz w:val="20"/>
              </w:rPr>
              <w:t>5,200,000,000</w:t>
            </w:r>
          </w:p>
        </w:tc>
      </w:tr>
    </w:tbl>
    <w:p w14:paraId="58928CED" w14:textId="77777777" w:rsidR="00C62354" w:rsidRPr="005923CF" w:rsidRDefault="005923CF" w:rsidP="000D6C93">
      <w:pPr>
        <w:numPr>
          <w:ilvl w:val="0"/>
          <w:numId w:val="2"/>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Report on the activities of the Supervisory Board in 2023 and operating orientation in 2024;</w:t>
      </w:r>
    </w:p>
    <w:p w14:paraId="09355045" w14:textId="06FC7256" w:rsidR="00C62354" w:rsidRPr="005923CF" w:rsidRDefault="005923CF" w:rsidP="000D6C93">
      <w:pPr>
        <w:numPr>
          <w:ilvl w:val="0"/>
          <w:numId w:val="2"/>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Proposal No. 0541/2024/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on approving the Audited Financial Statements 2023;</w:t>
      </w:r>
    </w:p>
    <w:p w14:paraId="5D551752" w14:textId="1DBAF987" w:rsidR="00C62354" w:rsidRPr="005923CF" w:rsidRDefault="005923CF" w:rsidP="000D6C93">
      <w:pPr>
        <w:numPr>
          <w:ilvl w:val="0"/>
          <w:numId w:val="2"/>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Proposal No. 5410/2024/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on approving the profit distribution plan for 2023;</w:t>
      </w:r>
    </w:p>
    <w:p w14:paraId="246C7DBB" w14:textId="77777777" w:rsidR="00C62354" w:rsidRPr="005923CF" w:rsidRDefault="005923CF" w:rsidP="000D6C93">
      <w:p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Profit after tax according to Audited Financial Statements 2023: VND 3,592,531,779 </w:t>
      </w:r>
    </w:p>
    <w:p w14:paraId="712039B6" w14:textId="77777777" w:rsidR="00C62354" w:rsidRPr="005923CF" w:rsidRDefault="005923CF" w:rsidP="000D6C93">
      <w:p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Pr>
          <w:rFonts w:ascii="Arial" w:hAnsi="Arial"/>
          <w:color w:val="010000"/>
          <w:sz w:val="20"/>
        </w:rPr>
        <w:t>Profit distribution plan 2023: Retained earnings.</w:t>
      </w:r>
    </w:p>
    <w:p w14:paraId="7C52DF98" w14:textId="290370EF" w:rsidR="00C62354" w:rsidRPr="005923CF" w:rsidRDefault="005923CF" w:rsidP="000D6C93">
      <w:pPr>
        <w:numPr>
          <w:ilvl w:val="0"/>
          <w:numId w:val="2"/>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Proposal No. 0544/2024/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on selecting an audit company to audit the Financial Statements 2024;</w:t>
      </w:r>
    </w:p>
    <w:p w14:paraId="1258BA64" w14:textId="04103FD8" w:rsidR="00C62354" w:rsidRPr="005923CF" w:rsidRDefault="005923CF" w:rsidP="000D6C93">
      <w:pPr>
        <w:numPr>
          <w:ilvl w:val="0"/>
          <w:numId w:val="2"/>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Proposal No. 0542/2024/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on approving the Company's business plan 2024;</w:t>
      </w:r>
    </w:p>
    <w:p w14:paraId="70F33EA7" w14:textId="7E6DEBBA" w:rsidR="00C62354" w:rsidRPr="005923CF" w:rsidRDefault="005923CF" w:rsidP="000D6C93">
      <w:pPr>
        <w:numPr>
          <w:ilvl w:val="0"/>
          <w:numId w:val="2"/>
        </w:numPr>
        <w:pBdr>
          <w:top w:val="nil"/>
          <w:left w:val="nil"/>
          <w:bottom w:val="nil"/>
          <w:right w:val="nil"/>
          <w:between w:val="nil"/>
        </w:pBdr>
        <w:tabs>
          <w:tab w:val="left" w:pos="0"/>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Proposal No. 0543/2024/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on approving the remuneration of the </w:t>
      </w:r>
      <w:r>
        <w:rPr>
          <w:rFonts w:ascii="Arial" w:hAnsi="Arial"/>
          <w:color w:val="010000"/>
          <w:sz w:val="20"/>
        </w:rPr>
        <w:lastRenderedPageBreak/>
        <w:t>Board of Directors and Supervisory Board in 2023 and proposed remuneration for 2024;</w:t>
      </w:r>
    </w:p>
    <w:p w14:paraId="3EB792F1" w14:textId="46B9A868" w:rsidR="00C62354" w:rsidRPr="005923CF" w:rsidRDefault="005923CF" w:rsidP="000D6C93">
      <w:pPr>
        <w:numPr>
          <w:ilvl w:val="0"/>
          <w:numId w:val="9"/>
        </w:numPr>
        <w:pBdr>
          <w:top w:val="nil"/>
          <w:left w:val="nil"/>
          <w:bottom w:val="nil"/>
          <w:right w:val="nil"/>
          <w:between w:val="nil"/>
        </w:pBdr>
        <w:tabs>
          <w:tab w:val="left" w:pos="0"/>
          <w:tab w:val="left" w:pos="360"/>
        </w:tabs>
        <w:spacing w:after="120" w:line="360" w:lineRule="auto"/>
        <w:rPr>
          <w:rFonts w:ascii="Arial" w:eastAsia="Arial" w:hAnsi="Arial" w:cs="Arial"/>
          <w:color w:val="010000"/>
          <w:sz w:val="20"/>
          <w:szCs w:val="20"/>
        </w:rPr>
      </w:pPr>
      <w:r>
        <w:rPr>
          <w:rFonts w:ascii="Arial" w:hAnsi="Arial"/>
          <w:color w:val="010000"/>
          <w:sz w:val="20"/>
        </w:rPr>
        <w:t>Proposal No. 0545/2024/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approving the election of members of the Board of Directors of the Company for the term 2024 - 2029;</w:t>
      </w:r>
    </w:p>
    <w:p w14:paraId="238CEE36" w14:textId="1BE595C6" w:rsidR="00C62354" w:rsidRPr="005923CF" w:rsidRDefault="005923CF" w:rsidP="005923CF">
      <w:pPr>
        <w:numPr>
          <w:ilvl w:val="0"/>
          <w:numId w:val="9"/>
        </w:num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Proposal No. 549/2024/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on Reporting results of </w:t>
      </w:r>
      <w:r w:rsidR="000D6C93">
        <w:rPr>
          <w:rFonts w:ascii="Arial" w:hAnsi="Arial"/>
          <w:color w:val="010000"/>
          <w:sz w:val="20"/>
        </w:rPr>
        <w:t xml:space="preserve">the </w:t>
      </w:r>
      <w:r>
        <w:rPr>
          <w:rFonts w:ascii="Arial" w:hAnsi="Arial"/>
          <w:color w:val="010000"/>
          <w:sz w:val="20"/>
        </w:rPr>
        <w:t>capital increase and amending the Charter;</w:t>
      </w:r>
    </w:p>
    <w:p w14:paraId="709B4C1B" w14:textId="680191D2" w:rsidR="00C62354" w:rsidRPr="005923CF" w:rsidRDefault="005923CF" w:rsidP="005923CF">
      <w:pPr>
        <w:numPr>
          <w:ilvl w:val="0"/>
          <w:numId w:val="9"/>
        </w:numPr>
        <w:pBdr>
          <w:top w:val="nil"/>
          <w:left w:val="nil"/>
          <w:bottom w:val="nil"/>
          <w:right w:val="nil"/>
          <w:between w:val="nil"/>
        </w:pBdr>
        <w:tabs>
          <w:tab w:val="left" w:pos="331"/>
          <w:tab w:val="left" w:pos="0"/>
        </w:tabs>
        <w:spacing w:after="120" w:line="360" w:lineRule="auto"/>
        <w:jc w:val="both"/>
        <w:rPr>
          <w:rFonts w:ascii="Arial" w:eastAsia="Arial" w:hAnsi="Arial" w:cs="Arial"/>
          <w:color w:val="010000"/>
          <w:sz w:val="20"/>
          <w:szCs w:val="20"/>
        </w:rPr>
      </w:pPr>
      <w:r>
        <w:rPr>
          <w:rFonts w:ascii="Arial" w:hAnsi="Arial"/>
          <w:color w:val="010000"/>
          <w:sz w:val="20"/>
        </w:rPr>
        <w:t>Proposal No. 548/2024/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on amending and supplementing some contents of General Mandate No. 258/2023/NQ-DHDCD of the Extraordinary General Meeting of Shareholders on August 25, 2023;</w:t>
      </w:r>
    </w:p>
    <w:p w14:paraId="10C39462" w14:textId="1F442246" w:rsidR="00C62354" w:rsidRPr="005923CF" w:rsidRDefault="005923CF" w:rsidP="005923CF">
      <w:pPr>
        <w:numPr>
          <w:ilvl w:val="0"/>
          <w:numId w:val="9"/>
        </w:num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Proposal No. 2641/2024/</w:t>
      </w:r>
      <w:proofErr w:type="spellStart"/>
      <w:r>
        <w:rPr>
          <w:rFonts w:ascii="Arial" w:hAnsi="Arial"/>
          <w:color w:val="010000"/>
          <w:sz w:val="20"/>
        </w:rPr>
        <w:t>TTr</w:t>
      </w:r>
      <w:proofErr w:type="spellEnd"/>
      <w:r>
        <w:rPr>
          <w:rFonts w:ascii="Arial" w:hAnsi="Arial"/>
          <w:color w:val="010000"/>
          <w:sz w:val="20"/>
        </w:rPr>
        <w:t>-HDQT dated April 26, 2024</w:t>
      </w:r>
      <w:r w:rsidR="000D6C93">
        <w:rPr>
          <w:rFonts w:ascii="Arial" w:hAnsi="Arial"/>
          <w:color w:val="010000"/>
          <w:sz w:val="20"/>
        </w:rPr>
        <w:t>,</w:t>
      </w:r>
      <w:r>
        <w:rPr>
          <w:rFonts w:ascii="Arial" w:hAnsi="Arial"/>
          <w:color w:val="010000"/>
          <w:sz w:val="20"/>
        </w:rPr>
        <w:t xml:space="preserve"> on replacing Proposal No. 0547/2024/</w:t>
      </w:r>
      <w:proofErr w:type="spellStart"/>
      <w:r>
        <w:rPr>
          <w:rFonts w:ascii="Arial" w:hAnsi="Arial"/>
          <w:color w:val="010000"/>
          <w:sz w:val="20"/>
        </w:rPr>
        <w:t>TTr</w:t>
      </w:r>
      <w:proofErr w:type="spellEnd"/>
      <w:r>
        <w:rPr>
          <w:rFonts w:ascii="Arial" w:hAnsi="Arial"/>
          <w:color w:val="010000"/>
          <w:sz w:val="20"/>
        </w:rPr>
        <w:t>-HDQT dated April 5, 2024</w:t>
      </w:r>
      <w:r w:rsidR="000D6C93">
        <w:rPr>
          <w:rFonts w:ascii="Arial" w:hAnsi="Arial"/>
          <w:color w:val="010000"/>
          <w:sz w:val="20"/>
        </w:rPr>
        <w:t>,</w:t>
      </w:r>
      <w:r>
        <w:rPr>
          <w:rFonts w:ascii="Arial" w:hAnsi="Arial"/>
          <w:color w:val="010000"/>
          <w:sz w:val="20"/>
        </w:rPr>
        <w:t xml:space="preserve"> and Proposal No. 2343/2024/</w:t>
      </w:r>
      <w:proofErr w:type="spellStart"/>
      <w:r>
        <w:rPr>
          <w:rFonts w:ascii="Arial" w:hAnsi="Arial"/>
          <w:color w:val="010000"/>
          <w:sz w:val="20"/>
        </w:rPr>
        <w:t>TTr</w:t>
      </w:r>
      <w:proofErr w:type="spellEnd"/>
      <w:r>
        <w:rPr>
          <w:rFonts w:ascii="Arial" w:hAnsi="Arial"/>
          <w:color w:val="010000"/>
          <w:sz w:val="20"/>
        </w:rPr>
        <w:t>-HDQT dated April 23 4/2024 on Report on the results of additional shares to increase charter capital in 2023 and adjusting the plan for using capital obtained from the issuance;</w:t>
      </w:r>
    </w:p>
    <w:p w14:paraId="3A202EB8" w14:textId="77777777" w:rsidR="00C62354" w:rsidRPr="005923CF" w:rsidRDefault="005923CF" w:rsidP="005923CF">
      <w:pPr>
        <w:pStyle w:val="ListParagraph"/>
        <w:numPr>
          <w:ilvl w:val="0"/>
          <w:numId w:val="11"/>
        </w:numPr>
        <w:pBdr>
          <w:top w:val="nil"/>
          <w:left w:val="nil"/>
          <w:bottom w:val="nil"/>
          <w:right w:val="nil"/>
          <w:between w:val="nil"/>
        </w:pBdr>
        <w:tabs>
          <w:tab w:val="left" w:pos="336"/>
          <w:tab w:val="left" w:pos="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Report on the results of share issuance for dividend payment:</w:t>
      </w:r>
    </w:p>
    <w:p w14:paraId="7FAD2EBE"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The Board of Directors reports to the General Meeting of Shareholders on the results of the share issuance for dividend payment 2022 as follows:</w:t>
      </w:r>
    </w:p>
    <w:p w14:paraId="31E7306D"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1</w:t>
      </w:r>
      <w:r>
        <w:rPr>
          <w:rFonts w:ascii="Arial" w:hAnsi="Arial"/>
          <w:color w:val="010000"/>
          <w:sz w:val="20"/>
        </w:rPr>
        <w:tab/>
        <w:t>Number of shares before issuance:</w:t>
      </w:r>
    </w:p>
    <w:p w14:paraId="0D3993C0" w14:textId="77777777" w:rsidR="00C62354" w:rsidRPr="005923CF" w:rsidRDefault="005923CF" w:rsidP="005923CF">
      <w:pPr>
        <w:numPr>
          <w:ilvl w:val="0"/>
          <w:numId w:val="4"/>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number of issued shares: 3,200,000 shares.</w:t>
      </w:r>
    </w:p>
    <w:p w14:paraId="74E5F188" w14:textId="77777777" w:rsidR="00C62354" w:rsidRPr="005923CF" w:rsidRDefault="005923CF" w:rsidP="005923CF">
      <w:pPr>
        <w:numPr>
          <w:ilvl w:val="0"/>
          <w:numId w:val="4"/>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 3,200,000 shares.</w:t>
      </w:r>
    </w:p>
    <w:p w14:paraId="346FE4DE" w14:textId="77777777" w:rsidR="00C62354" w:rsidRPr="005923CF" w:rsidRDefault="005923CF" w:rsidP="005923CF">
      <w:pPr>
        <w:numPr>
          <w:ilvl w:val="0"/>
          <w:numId w:val="4"/>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treasury shares: 0 shares.</w:t>
      </w:r>
    </w:p>
    <w:p w14:paraId="43ABF93B"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2</w:t>
      </w:r>
      <w:r>
        <w:rPr>
          <w:rFonts w:ascii="Arial" w:hAnsi="Arial"/>
          <w:color w:val="010000"/>
          <w:sz w:val="20"/>
        </w:rPr>
        <w:tab/>
        <w:t>Rights exercise rate: 5:1</w:t>
      </w:r>
    </w:p>
    <w:p w14:paraId="37852B72"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3</w:t>
      </w:r>
      <w:r>
        <w:rPr>
          <w:rFonts w:ascii="Arial" w:hAnsi="Arial"/>
          <w:color w:val="010000"/>
          <w:sz w:val="20"/>
        </w:rPr>
        <w:tab/>
        <w:t xml:space="preserve">Number of shares expected to be issued: 640,000 shares </w:t>
      </w:r>
    </w:p>
    <w:p w14:paraId="0AE0742E"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4</w:t>
      </w:r>
      <w:r>
        <w:rPr>
          <w:rFonts w:ascii="Arial" w:hAnsi="Arial"/>
          <w:color w:val="010000"/>
          <w:sz w:val="20"/>
        </w:rPr>
        <w:tab/>
        <w:t>Completion date of the issuance: December 25, 2023</w:t>
      </w:r>
    </w:p>
    <w:p w14:paraId="5FD5D24A"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5</w:t>
      </w:r>
      <w:r>
        <w:rPr>
          <w:rFonts w:ascii="Arial" w:hAnsi="Arial"/>
          <w:color w:val="010000"/>
          <w:sz w:val="20"/>
        </w:rPr>
        <w:tab/>
        <w:t>Total number of shares distributed: 640,000 shares, of which:</w:t>
      </w:r>
    </w:p>
    <w:p w14:paraId="28F148F6" w14:textId="77777777" w:rsidR="00C62354" w:rsidRPr="005923CF" w:rsidRDefault="005923CF" w:rsidP="005923CF">
      <w:pPr>
        <w:numPr>
          <w:ilvl w:val="0"/>
          <w:numId w:val="8"/>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distributed to shareholders according to the rate: 640,000 shares for 139 shareholders;</w:t>
      </w:r>
    </w:p>
    <w:p w14:paraId="4B88C44E" w14:textId="77777777" w:rsidR="00C62354" w:rsidRPr="005923CF" w:rsidRDefault="005923CF" w:rsidP="005923CF">
      <w:pPr>
        <w:numPr>
          <w:ilvl w:val="0"/>
          <w:numId w:val="8"/>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fractional shares handled: 0 shares.</w:t>
      </w:r>
    </w:p>
    <w:p w14:paraId="58DFD45A" w14:textId="77777777" w:rsidR="00C62354" w:rsidRPr="005923CF" w:rsidRDefault="005923CF" w:rsidP="005923CF">
      <w:pPr>
        <w:numPr>
          <w:ilvl w:val="0"/>
          <w:numId w:val="8"/>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number of shares after the issuance (after December 25, 2023): 3,840,000 shares, of which: Number of outstanding shares: 3,840,000 shares;</w:t>
      </w:r>
    </w:p>
    <w:p w14:paraId="1DE26FBE" w14:textId="77777777" w:rsidR="00C62354" w:rsidRPr="005923CF" w:rsidRDefault="005923CF" w:rsidP="005923CF">
      <w:pPr>
        <w:numPr>
          <w:ilvl w:val="0"/>
          <w:numId w:val="8"/>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treasury shares: 0 shares.</w:t>
      </w:r>
    </w:p>
    <w:p w14:paraId="12E586D8" w14:textId="77777777" w:rsidR="00C62354" w:rsidRPr="005923CF" w:rsidRDefault="005923CF" w:rsidP="005923CF">
      <w:pPr>
        <w:pStyle w:val="ListParagraph"/>
        <w:numPr>
          <w:ilvl w:val="0"/>
          <w:numId w:val="11"/>
        </w:numPr>
        <w:pBdr>
          <w:top w:val="nil"/>
          <w:left w:val="nil"/>
          <w:bottom w:val="nil"/>
          <w:right w:val="nil"/>
          <w:between w:val="nil"/>
        </w:pBdr>
        <w:tabs>
          <w:tab w:val="left" w:pos="336"/>
          <w:tab w:val="left" w:pos="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Report on the results of the issuance of shares to existing shareholders:</w:t>
      </w:r>
    </w:p>
    <w:p w14:paraId="0A72D680"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The Board of Directors reports to the General Meeting of Shareholders on the results of the issuance of shares to existing shareholders in 2023 as follows:</w:t>
      </w:r>
    </w:p>
    <w:p w14:paraId="729BB1A8"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1</w:t>
      </w:r>
      <w:r>
        <w:rPr>
          <w:rFonts w:ascii="Arial" w:hAnsi="Arial"/>
          <w:color w:val="010000"/>
          <w:sz w:val="20"/>
        </w:rPr>
        <w:tab/>
        <w:t>Number of offered shares: 3,200,000 shares.</w:t>
      </w:r>
    </w:p>
    <w:p w14:paraId="59FB6CF8"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lastRenderedPageBreak/>
        <w:t>2</w:t>
      </w:r>
      <w:r>
        <w:rPr>
          <w:rFonts w:ascii="Arial" w:hAnsi="Arial"/>
          <w:color w:val="010000"/>
          <w:sz w:val="20"/>
        </w:rPr>
        <w:tab/>
        <w:t>Offering price: VND 10,000/share.</w:t>
      </w:r>
    </w:p>
    <w:p w14:paraId="1D905883"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3</w:t>
      </w:r>
      <w:r>
        <w:rPr>
          <w:rFonts w:ascii="Arial" w:hAnsi="Arial"/>
          <w:color w:val="010000"/>
          <w:sz w:val="20"/>
        </w:rPr>
        <w:tab/>
        <w:t>Total number of distributed shares:</w:t>
      </w:r>
    </w:p>
    <w:p w14:paraId="45A05B14" w14:textId="77777777" w:rsidR="00C62354" w:rsidRPr="005923CF" w:rsidRDefault="005923CF" w:rsidP="005923CF">
      <w:pPr>
        <w:numPr>
          <w:ilvl w:val="0"/>
          <w:numId w:val="6"/>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subscribed and paid by existing shareholders to exercise their purchase rights: 1,219,098 shares for 23 shareholders;</w:t>
      </w:r>
    </w:p>
    <w:p w14:paraId="33D2DEAA" w14:textId="77777777" w:rsidR="00C62354" w:rsidRPr="005923CF" w:rsidRDefault="005923CF" w:rsidP="005923CF">
      <w:pPr>
        <w:numPr>
          <w:ilvl w:val="0"/>
          <w:numId w:val="6"/>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allocated for handling unregistered purchase requests and unpaid subscriptions by existing shareholders: 0 shares.</w:t>
      </w:r>
    </w:p>
    <w:p w14:paraId="3BB4F5C7" w14:textId="77777777" w:rsidR="00C62354" w:rsidRPr="005923CF" w:rsidRDefault="005923CF" w:rsidP="005923CF">
      <w:pPr>
        <w:numPr>
          <w:ilvl w:val="0"/>
          <w:numId w:val="6"/>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number of undistributed shares: 1,980,902 shares; these shares were canceled after the expiration of the extension period (until April 3, 2024) of the offering based on General Mandate No. 258/2023/NQ-DHDCD of the Extraordinary General Meeting of Shareholders on August 25, 2023.</w:t>
      </w:r>
    </w:p>
    <w:p w14:paraId="28459ADA" w14:textId="77777777" w:rsidR="00C62354" w:rsidRPr="005923CF" w:rsidRDefault="005923CF" w:rsidP="005923CF">
      <w:pPr>
        <w:numPr>
          <w:ilvl w:val="0"/>
          <w:numId w:val="6"/>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number of distributed shares: 1,219,098 shares (equivalent to 38.1% of the total number of shares registered for sale).</w:t>
      </w:r>
    </w:p>
    <w:p w14:paraId="11526295"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4</w:t>
      </w:r>
      <w:r>
        <w:rPr>
          <w:rFonts w:ascii="Arial" w:hAnsi="Arial"/>
          <w:color w:val="010000"/>
          <w:sz w:val="20"/>
        </w:rPr>
        <w:tab/>
        <w:t>Completion date of the offering: April 03, 2024.</w:t>
      </w:r>
    </w:p>
    <w:p w14:paraId="209CA940"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5</w:t>
      </w:r>
      <w:r>
        <w:rPr>
          <w:rFonts w:ascii="Arial" w:hAnsi="Arial"/>
          <w:color w:val="010000"/>
          <w:sz w:val="20"/>
        </w:rPr>
        <w:tab/>
        <w:t>Total net proceeds from the offering: VND 12,011,930,000.</w:t>
      </w:r>
    </w:p>
    <w:p w14:paraId="3515BBCA" w14:textId="77777777" w:rsidR="00C62354" w:rsidRPr="005923CF" w:rsidRDefault="005923CF" w:rsidP="005923CF">
      <w:pPr>
        <w:numPr>
          <w:ilvl w:val="0"/>
          <w:numId w:val="5"/>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proceeds from the offering: VND 12,190,980,000;</w:t>
      </w:r>
    </w:p>
    <w:p w14:paraId="1DD20F6C" w14:textId="77777777" w:rsidR="00C62354" w:rsidRPr="005923CF" w:rsidRDefault="005923CF" w:rsidP="005923CF">
      <w:pPr>
        <w:numPr>
          <w:ilvl w:val="0"/>
          <w:numId w:val="5"/>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expenses of the offering: VND 179,050,000.</w:t>
      </w:r>
    </w:p>
    <w:p w14:paraId="1EA67050" w14:textId="77777777" w:rsidR="00C62354" w:rsidRPr="005923CF" w:rsidRDefault="005923CF" w:rsidP="005923CF">
      <w:pPr>
        <w:pStyle w:val="ListParagraph"/>
        <w:numPr>
          <w:ilvl w:val="0"/>
          <w:numId w:val="11"/>
        </w:numPr>
        <w:pBdr>
          <w:top w:val="nil"/>
          <w:left w:val="nil"/>
          <w:bottom w:val="nil"/>
          <w:right w:val="nil"/>
          <w:between w:val="nil"/>
        </w:pBdr>
        <w:tabs>
          <w:tab w:val="left" w:pos="336"/>
          <w:tab w:val="left" w:pos="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Summary of results of issuing shares to increase charter capital</w:t>
      </w:r>
    </w:p>
    <w:p w14:paraId="722F6AE0"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1</w:t>
      </w:r>
      <w:r>
        <w:rPr>
          <w:rFonts w:ascii="Arial" w:hAnsi="Arial"/>
          <w:color w:val="010000"/>
          <w:sz w:val="20"/>
        </w:rPr>
        <w:tab/>
        <w:t>Number of shares before issuance: 3,200,000 shares.</w:t>
      </w:r>
    </w:p>
    <w:p w14:paraId="20240DF6"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ab/>
        <w:t>Total number of issued shares: 3,200,000 shares.</w:t>
      </w:r>
    </w:p>
    <w:p w14:paraId="22385024" w14:textId="77777777" w:rsidR="00C62354" w:rsidRPr="005923CF" w:rsidRDefault="005923CF" w:rsidP="005923CF">
      <w:pPr>
        <w:numPr>
          <w:ilvl w:val="0"/>
          <w:numId w:val="1"/>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 3,200,000 shares.</w:t>
      </w:r>
    </w:p>
    <w:p w14:paraId="65672A46" w14:textId="77777777" w:rsidR="00C62354" w:rsidRPr="005923CF" w:rsidRDefault="005923CF" w:rsidP="005923CF">
      <w:pPr>
        <w:numPr>
          <w:ilvl w:val="0"/>
          <w:numId w:val="1"/>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treasury shares: 0 shares.</w:t>
      </w:r>
    </w:p>
    <w:p w14:paraId="41CDBE49"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2</w:t>
      </w:r>
      <w:r>
        <w:rPr>
          <w:rFonts w:ascii="Arial" w:hAnsi="Arial"/>
          <w:color w:val="010000"/>
          <w:sz w:val="20"/>
        </w:rPr>
        <w:tab/>
        <w:t>Total number of shares distributed for dividend payment: 640,000 shares;</w:t>
      </w:r>
    </w:p>
    <w:p w14:paraId="0D09BDDB"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3</w:t>
      </w:r>
      <w:r>
        <w:rPr>
          <w:rFonts w:ascii="Arial" w:hAnsi="Arial"/>
          <w:color w:val="010000"/>
          <w:sz w:val="20"/>
        </w:rPr>
        <w:tab/>
        <w:t>Total number of shares distributed through the issuance of shares to existing shareholders: 1,219,098 shares;</w:t>
      </w:r>
    </w:p>
    <w:p w14:paraId="49C52B09"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4</w:t>
      </w:r>
      <w:r>
        <w:rPr>
          <w:rFonts w:ascii="Arial" w:hAnsi="Arial"/>
          <w:color w:val="010000"/>
          <w:sz w:val="20"/>
        </w:rPr>
        <w:tab/>
        <w:t>Total number of shares after the offering period (as of the end date of the offering on April 3, 2024): 5,059,098 shares, of which:</w:t>
      </w:r>
    </w:p>
    <w:p w14:paraId="2C10E61E" w14:textId="77777777" w:rsidR="00C62354" w:rsidRPr="005923CF" w:rsidRDefault="005923CF" w:rsidP="005923CF">
      <w:pPr>
        <w:numPr>
          <w:ilvl w:val="0"/>
          <w:numId w:val="3"/>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 5,059,098 shares</w:t>
      </w:r>
    </w:p>
    <w:p w14:paraId="1F58CB51" w14:textId="77777777" w:rsidR="00C62354" w:rsidRPr="005923CF" w:rsidRDefault="005923CF" w:rsidP="005923CF">
      <w:pPr>
        <w:numPr>
          <w:ilvl w:val="0"/>
          <w:numId w:val="3"/>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Number of treasury shares: 0 shares</w:t>
      </w:r>
    </w:p>
    <w:p w14:paraId="2C7CA1AB" w14:textId="77777777" w:rsidR="00C62354" w:rsidRPr="005923CF" w:rsidRDefault="005923CF" w:rsidP="005923CF">
      <w:pPr>
        <w:pStyle w:val="ListParagraph"/>
        <w:numPr>
          <w:ilvl w:val="0"/>
          <w:numId w:val="11"/>
        </w:numPr>
        <w:pBdr>
          <w:top w:val="nil"/>
          <w:left w:val="nil"/>
          <w:bottom w:val="nil"/>
          <w:right w:val="nil"/>
          <w:between w:val="nil"/>
        </w:pBdr>
        <w:tabs>
          <w:tab w:val="left" w:pos="336"/>
          <w:tab w:val="left" w:pos="0"/>
        </w:tabs>
        <w:spacing w:after="120" w:line="360" w:lineRule="auto"/>
        <w:ind w:left="0" w:firstLine="0"/>
        <w:contextualSpacing w:val="0"/>
        <w:jc w:val="both"/>
        <w:rPr>
          <w:rFonts w:ascii="Arial" w:eastAsia="Arial" w:hAnsi="Arial" w:cs="Arial"/>
          <w:color w:val="010000"/>
          <w:sz w:val="20"/>
          <w:szCs w:val="20"/>
        </w:rPr>
      </w:pPr>
      <w:r>
        <w:rPr>
          <w:rFonts w:ascii="Arial" w:hAnsi="Arial"/>
          <w:color w:val="010000"/>
          <w:sz w:val="20"/>
        </w:rPr>
        <w:t>Adjust the plan for using capital obtained from the issuance of shares to existing shareholders in 2023.</w:t>
      </w:r>
    </w:p>
    <w:p w14:paraId="4452DC49"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The Board of Directors reports to the General Meeting of Shareholders for consideration and approval of the adjustment to the utilization plan of the capital from the issuance of shares to existing shareholders, as follows:</w:t>
      </w:r>
    </w:p>
    <w:p w14:paraId="39D9BB14" w14:textId="77777777"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1</w:t>
      </w:r>
      <w:r>
        <w:rPr>
          <w:rFonts w:ascii="Arial" w:hAnsi="Arial"/>
          <w:color w:val="010000"/>
          <w:sz w:val="20"/>
        </w:rPr>
        <w:tab/>
        <w:t xml:space="preserve">The capital utilization plan according to Resolution No. 410/2023/NQ-HDQT dated October 4, 2023, </w:t>
      </w:r>
      <w:r>
        <w:rPr>
          <w:rFonts w:ascii="Arial" w:hAnsi="Arial"/>
          <w:color w:val="010000"/>
          <w:sz w:val="20"/>
        </w:rPr>
        <w:lastRenderedPageBreak/>
        <w:t>on approving the detailed plan for the utilization of capital from the public offering of shares:</w:t>
      </w:r>
    </w:p>
    <w:p w14:paraId="70EAD0F2" w14:textId="77777777" w:rsidR="00C62354" w:rsidRPr="005923CF" w:rsidRDefault="005923CF" w:rsidP="005923CF">
      <w:pPr>
        <w:numPr>
          <w:ilvl w:val="0"/>
          <w:numId w:val="7"/>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Total estimated capital to be received from the issuance: VND 32,000,000,000 </w:t>
      </w:r>
    </w:p>
    <w:p w14:paraId="7B5EB637" w14:textId="77777777" w:rsidR="00C62354" w:rsidRPr="005923CF" w:rsidRDefault="005923CF" w:rsidP="005923CF">
      <w:pPr>
        <w:numPr>
          <w:ilvl w:val="0"/>
          <w:numId w:val="7"/>
        </w:numPr>
        <w:pBdr>
          <w:top w:val="nil"/>
          <w:left w:val="nil"/>
          <w:bottom w:val="nil"/>
          <w:right w:val="nil"/>
          <w:between w:val="nil"/>
        </w:pBdr>
        <w:tabs>
          <w:tab w:val="left" w:pos="336"/>
          <w:tab w:val="left" w:pos="0"/>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for the utilization of funds raised from the issuance:</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56"/>
        <w:gridCol w:w="5253"/>
        <w:gridCol w:w="3002"/>
      </w:tblGrid>
      <w:tr w:rsidR="00C62354" w:rsidRPr="005923CF" w14:paraId="7C712AB8" w14:textId="77777777" w:rsidTr="005923CF">
        <w:tc>
          <w:tcPr>
            <w:tcW w:w="419" w:type="pct"/>
            <w:shd w:val="clear" w:color="auto" w:fill="auto"/>
            <w:tcMar>
              <w:top w:w="0" w:type="dxa"/>
              <w:left w:w="20" w:type="dxa"/>
              <w:bottom w:w="0" w:type="dxa"/>
              <w:right w:w="20" w:type="dxa"/>
            </w:tcMar>
            <w:vAlign w:val="center"/>
          </w:tcPr>
          <w:p w14:paraId="7B81682B" w14:textId="77777777" w:rsidR="00C62354" w:rsidRPr="000D6C93" w:rsidRDefault="005923CF" w:rsidP="005923CF">
            <w:pPr>
              <w:tabs>
                <w:tab w:val="left" w:pos="336"/>
                <w:tab w:val="left" w:pos="0"/>
              </w:tabs>
              <w:spacing w:after="120" w:line="360" w:lineRule="auto"/>
              <w:jc w:val="center"/>
              <w:rPr>
                <w:rFonts w:ascii="Arial" w:eastAsia="Arial" w:hAnsi="Arial" w:cs="Arial"/>
                <w:b/>
                <w:color w:val="010000"/>
                <w:sz w:val="20"/>
                <w:szCs w:val="20"/>
              </w:rPr>
            </w:pPr>
            <w:r w:rsidRPr="000D6C93">
              <w:rPr>
                <w:rFonts w:ascii="Arial" w:hAnsi="Arial"/>
                <w:b/>
                <w:color w:val="010000"/>
                <w:sz w:val="20"/>
              </w:rPr>
              <w:t>No.</w:t>
            </w:r>
          </w:p>
        </w:tc>
        <w:tc>
          <w:tcPr>
            <w:tcW w:w="2915" w:type="pct"/>
            <w:shd w:val="clear" w:color="auto" w:fill="auto"/>
            <w:tcMar>
              <w:top w:w="0" w:type="dxa"/>
              <w:left w:w="20" w:type="dxa"/>
              <w:bottom w:w="0" w:type="dxa"/>
              <w:right w:w="20" w:type="dxa"/>
            </w:tcMar>
            <w:vAlign w:val="center"/>
          </w:tcPr>
          <w:p w14:paraId="2E863421" w14:textId="77777777" w:rsidR="00C62354" w:rsidRPr="000D6C93" w:rsidRDefault="005923CF" w:rsidP="005923CF">
            <w:pPr>
              <w:tabs>
                <w:tab w:val="left" w:pos="336"/>
                <w:tab w:val="left" w:pos="0"/>
              </w:tabs>
              <w:spacing w:after="120" w:line="360" w:lineRule="auto"/>
              <w:jc w:val="center"/>
              <w:rPr>
                <w:rFonts w:ascii="Arial" w:eastAsia="Arial" w:hAnsi="Arial" w:cs="Arial"/>
                <w:b/>
                <w:color w:val="010000"/>
                <w:sz w:val="20"/>
                <w:szCs w:val="20"/>
              </w:rPr>
            </w:pPr>
            <w:r w:rsidRPr="000D6C93">
              <w:rPr>
                <w:rFonts w:ascii="Arial" w:hAnsi="Arial"/>
                <w:b/>
                <w:color w:val="010000"/>
                <w:sz w:val="20"/>
              </w:rPr>
              <w:t>Items using capital</w:t>
            </w:r>
          </w:p>
        </w:tc>
        <w:tc>
          <w:tcPr>
            <w:tcW w:w="1667" w:type="pct"/>
            <w:shd w:val="clear" w:color="auto" w:fill="auto"/>
            <w:tcMar>
              <w:top w:w="0" w:type="dxa"/>
              <w:left w:w="20" w:type="dxa"/>
              <w:bottom w:w="0" w:type="dxa"/>
              <w:right w:w="20" w:type="dxa"/>
            </w:tcMar>
            <w:vAlign w:val="center"/>
          </w:tcPr>
          <w:p w14:paraId="6D8AAF3A" w14:textId="77777777" w:rsidR="00C62354" w:rsidRPr="000D6C93" w:rsidRDefault="005923CF" w:rsidP="005923CF">
            <w:pPr>
              <w:tabs>
                <w:tab w:val="left" w:pos="336"/>
                <w:tab w:val="left" w:pos="0"/>
              </w:tabs>
              <w:spacing w:after="120" w:line="360" w:lineRule="auto"/>
              <w:jc w:val="center"/>
              <w:rPr>
                <w:rFonts w:ascii="Arial" w:eastAsia="Arial" w:hAnsi="Arial" w:cs="Arial"/>
                <w:b/>
                <w:color w:val="010000"/>
                <w:sz w:val="20"/>
                <w:szCs w:val="20"/>
              </w:rPr>
            </w:pPr>
            <w:r w:rsidRPr="000D6C93">
              <w:rPr>
                <w:rFonts w:ascii="Arial" w:hAnsi="Arial"/>
                <w:b/>
                <w:color w:val="010000"/>
                <w:sz w:val="20"/>
              </w:rPr>
              <w:t>Value (VND)</w:t>
            </w:r>
          </w:p>
        </w:tc>
      </w:tr>
      <w:tr w:rsidR="00C62354" w:rsidRPr="005923CF" w14:paraId="27A55F51" w14:textId="77777777" w:rsidTr="005923CF">
        <w:tc>
          <w:tcPr>
            <w:tcW w:w="419" w:type="pct"/>
            <w:shd w:val="clear" w:color="auto" w:fill="auto"/>
            <w:tcMar>
              <w:top w:w="0" w:type="dxa"/>
              <w:left w:w="20" w:type="dxa"/>
              <w:bottom w:w="0" w:type="dxa"/>
              <w:right w:w="20" w:type="dxa"/>
            </w:tcMar>
            <w:vAlign w:val="center"/>
          </w:tcPr>
          <w:p w14:paraId="1C80CF5B"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15" w:type="pct"/>
            <w:shd w:val="clear" w:color="auto" w:fill="auto"/>
            <w:tcMar>
              <w:top w:w="0" w:type="dxa"/>
              <w:left w:w="20" w:type="dxa"/>
              <w:bottom w:w="0" w:type="dxa"/>
              <w:right w:w="20" w:type="dxa"/>
            </w:tcMar>
            <w:vAlign w:val="center"/>
          </w:tcPr>
          <w:p w14:paraId="149F88F0"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Contribute capital to establish 04 new education and training centers</w:t>
            </w:r>
          </w:p>
        </w:tc>
        <w:tc>
          <w:tcPr>
            <w:tcW w:w="1667" w:type="pct"/>
            <w:shd w:val="clear" w:color="auto" w:fill="auto"/>
            <w:tcMar>
              <w:top w:w="0" w:type="dxa"/>
              <w:left w:w="20" w:type="dxa"/>
              <w:bottom w:w="0" w:type="dxa"/>
              <w:right w:w="20" w:type="dxa"/>
            </w:tcMar>
            <w:vAlign w:val="center"/>
          </w:tcPr>
          <w:p w14:paraId="47551F7A"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9,200,000,000</w:t>
            </w:r>
          </w:p>
        </w:tc>
      </w:tr>
      <w:tr w:rsidR="00C62354" w:rsidRPr="005923CF" w14:paraId="16ADC564" w14:textId="77777777" w:rsidTr="005923CF">
        <w:tc>
          <w:tcPr>
            <w:tcW w:w="419" w:type="pct"/>
            <w:shd w:val="clear" w:color="auto" w:fill="auto"/>
            <w:tcMar>
              <w:top w:w="0" w:type="dxa"/>
              <w:left w:w="20" w:type="dxa"/>
              <w:bottom w:w="0" w:type="dxa"/>
              <w:right w:w="20" w:type="dxa"/>
            </w:tcMar>
            <w:vAlign w:val="center"/>
          </w:tcPr>
          <w:p w14:paraId="0E4671A8"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15" w:type="pct"/>
            <w:shd w:val="clear" w:color="auto" w:fill="auto"/>
            <w:tcMar>
              <w:top w:w="0" w:type="dxa"/>
              <w:left w:w="20" w:type="dxa"/>
              <w:bottom w:w="0" w:type="dxa"/>
              <w:right w:w="20" w:type="dxa"/>
            </w:tcMar>
            <w:vAlign w:val="center"/>
          </w:tcPr>
          <w:p w14:paraId="3F82FB98"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Collaborate on 02 experiential education zones</w:t>
            </w:r>
          </w:p>
        </w:tc>
        <w:tc>
          <w:tcPr>
            <w:tcW w:w="1667" w:type="pct"/>
            <w:shd w:val="clear" w:color="auto" w:fill="auto"/>
            <w:tcMar>
              <w:top w:w="0" w:type="dxa"/>
              <w:left w:w="20" w:type="dxa"/>
              <w:bottom w:w="0" w:type="dxa"/>
              <w:right w:w="20" w:type="dxa"/>
            </w:tcMar>
            <w:vAlign w:val="center"/>
          </w:tcPr>
          <w:p w14:paraId="1EFACD96"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15,000,000,000</w:t>
            </w:r>
          </w:p>
        </w:tc>
      </w:tr>
      <w:tr w:rsidR="00C62354" w:rsidRPr="005923CF" w14:paraId="205CF6FB" w14:textId="77777777" w:rsidTr="005923CF">
        <w:tc>
          <w:tcPr>
            <w:tcW w:w="419" w:type="pct"/>
            <w:shd w:val="clear" w:color="auto" w:fill="auto"/>
            <w:tcMar>
              <w:top w:w="0" w:type="dxa"/>
              <w:left w:w="20" w:type="dxa"/>
              <w:bottom w:w="0" w:type="dxa"/>
              <w:right w:w="20" w:type="dxa"/>
            </w:tcMar>
            <w:vAlign w:val="center"/>
          </w:tcPr>
          <w:p w14:paraId="237A5543"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915" w:type="pct"/>
            <w:shd w:val="clear" w:color="auto" w:fill="auto"/>
            <w:tcMar>
              <w:top w:w="0" w:type="dxa"/>
              <w:left w:w="20" w:type="dxa"/>
              <w:bottom w:w="0" w:type="dxa"/>
              <w:right w:w="20" w:type="dxa"/>
            </w:tcMar>
            <w:vAlign w:val="center"/>
          </w:tcPr>
          <w:p w14:paraId="2725AD34"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Purchase educational materials and supplies to organize experiential activities in various provinces</w:t>
            </w:r>
          </w:p>
        </w:tc>
        <w:tc>
          <w:tcPr>
            <w:tcW w:w="1667" w:type="pct"/>
            <w:shd w:val="clear" w:color="auto" w:fill="auto"/>
            <w:tcMar>
              <w:top w:w="0" w:type="dxa"/>
              <w:left w:w="20" w:type="dxa"/>
              <w:bottom w:w="0" w:type="dxa"/>
              <w:right w:w="20" w:type="dxa"/>
            </w:tcMar>
            <w:vAlign w:val="center"/>
          </w:tcPr>
          <w:p w14:paraId="6B7270C4"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7,800,000,000</w:t>
            </w:r>
          </w:p>
        </w:tc>
      </w:tr>
      <w:tr w:rsidR="00C62354" w:rsidRPr="005923CF" w14:paraId="70FAC883" w14:textId="77777777" w:rsidTr="005923CF">
        <w:tc>
          <w:tcPr>
            <w:tcW w:w="419" w:type="pct"/>
            <w:shd w:val="clear" w:color="auto" w:fill="auto"/>
            <w:tcMar>
              <w:top w:w="0" w:type="dxa"/>
              <w:left w:w="20" w:type="dxa"/>
              <w:bottom w:w="0" w:type="dxa"/>
              <w:right w:w="20" w:type="dxa"/>
            </w:tcMar>
            <w:vAlign w:val="center"/>
          </w:tcPr>
          <w:p w14:paraId="297BC4B1"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 xml:space="preserve"> </w:t>
            </w:r>
          </w:p>
        </w:tc>
        <w:tc>
          <w:tcPr>
            <w:tcW w:w="2915" w:type="pct"/>
            <w:shd w:val="clear" w:color="auto" w:fill="auto"/>
            <w:tcMar>
              <w:top w:w="0" w:type="dxa"/>
              <w:left w:w="20" w:type="dxa"/>
              <w:bottom w:w="0" w:type="dxa"/>
              <w:right w:w="20" w:type="dxa"/>
            </w:tcMar>
            <w:vAlign w:val="center"/>
          </w:tcPr>
          <w:p w14:paraId="0C35750C"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667" w:type="pct"/>
            <w:shd w:val="clear" w:color="auto" w:fill="auto"/>
            <w:tcMar>
              <w:top w:w="0" w:type="dxa"/>
              <w:left w:w="20" w:type="dxa"/>
              <w:bottom w:w="0" w:type="dxa"/>
              <w:right w:w="20" w:type="dxa"/>
            </w:tcMar>
            <w:vAlign w:val="center"/>
          </w:tcPr>
          <w:p w14:paraId="79D8106B"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32,000,000,000</w:t>
            </w:r>
          </w:p>
        </w:tc>
      </w:tr>
    </w:tbl>
    <w:p w14:paraId="5FEB3C4E" w14:textId="16E67E9E"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2</w:t>
      </w:r>
      <w:r>
        <w:rPr>
          <w:rFonts w:ascii="Arial" w:hAnsi="Arial"/>
          <w:color w:val="010000"/>
          <w:sz w:val="20"/>
        </w:rPr>
        <w:tab/>
        <w:t xml:space="preserve"> Revised capital utilization </w:t>
      </w:r>
      <w:r w:rsidR="00C83A49">
        <w:rPr>
          <w:rFonts w:ascii="Arial" w:hAnsi="Arial"/>
          <w:color w:val="010000"/>
          <w:sz w:val="20"/>
        </w:rPr>
        <w:t>plans</w:t>
      </w:r>
      <w:r>
        <w:rPr>
          <w:rFonts w:ascii="Arial" w:hAnsi="Arial"/>
          <w:color w:val="010000"/>
          <w:sz w:val="20"/>
        </w:rPr>
        <w:t>:</w:t>
      </w:r>
    </w:p>
    <w:tbl>
      <w:tblPr>
        <w:tblStyle w:val="a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92"/>
        <w:gridCol w:w="5320"/>
        <w:gridCol w:w="2999"/>
      </w:tblGrid>
      <w:tr w:rsidR="00C62354" w:rsidRPr="005923CF" w14:paraId="1B311C37" w14:textId="77777777" w:rsidTr="005923CF">
        <w:tc>
          <w:tcPr>
            <w:tcW w:w="384" w:type="pct"/>
            <w:shd w:val="clear" w:color="auto" w:fill="auto"/>
            <w:tcMar>
              <w:top w:w="0" w:type="dxa"/>
              <w:left w:w="20" w:type="dxa"/>
              <w:bottom w:w="0" w:type="dxa"/>
              <w:right w:w="20" w:type="dxa"/>
            </w:tcMar>
            <w:vAlign w:val="center"/>
          </w:tcPr>
          <w:p w14:paraId="5E7559C5" w14:textId="77777777" w:rsidR="00C62354" w:rsidRPr="000D6C93" w:rsidRDefault="005923CF" w:rsidP="005923CF">
            <w:pPr>
              <w:tabs>
                <w:tab w:val="left" w:pos="336"/>
                <w:tab w:val="left" w:pos="0"/>
              </w:tabs>
              <w:spacing w:after="120" w:line="360" w:lineRule="auto"/>
              <w:jc w:val="both"/>
              <w:rPr>
                <w:rFonts w:ascii="Arial" w:eastAsia="Arial" w:hAnsi="Arial" w:cs="Arial"/>
                <w:b/>
                <w:color w:val="010000"/>
                <w:sz w:val="20"/>
                <w:szCs w:val="20"/>
              </w:rPr>
            </w:pPr>
            <w:r w:rsidRPr="000D6C93">
              <w:rPr>
                <w:rFonts w:ascii="Arial" w:hAnsi="Arial"/>
                <w:b/>
                <w:color w:val="010000"/>
                <w:sz w:val="20"/>
              </w:rPr>
              <w:t>No.</w:t>
            </w:r>
          </w:p>
        </w:tc>
        <w:tc>
          <w:tcPr>
            <w:tcW w:w="2952" w:type="pct"/>
            <w:shd w:val="clear" w:color="auto" w:fill="auto"/>
            <w:tcMar>
              <w:top w:w="0" w:type="dxa"/>
              <w:left w:w="20" w:type="dxa"/>
              <w:bottom w:w="0" w:type="dxa"/>
              <w:right w:w="20" w:type="dxa"/>
            </w:tcMar>
            <w:vAlign w:val="center"/>
          </w:tcPr>
          <w:p w14:paraId="5701C7D0" w14:textId="77777777" w:rsidR="00C62354" w:rsidRPr="000D6C93" w:rsidRDefault="005923CF" w:rsidP="005923CF">
            <w:pPr>
              <w:tabs>
                <w:tab w:val="left" w:pos="336"/>
                <w:tab w:val="left" w:pos="0"/>
              </w:tabs>
              <w:spacing w:after="120" w:line="360" w:lineRule="auto"/>
              <w:jc w:val="center"/>
              <w:rPr>
                <w:rFonts w:ascii="Arial" w:eastAsia="Arial" w:hAnsi="Arial" w:cs="Arial"/>
                <w:b/>
                <w:color w:val="010000"/>
                <w:sz w:val="20"/>
                <w:szCs w:val="20"/>
              </w:rPr>
            </w:pPr>
            <w:r w:rsidRPr="000D6C93">
              <w:rPr>
                <w:rFonts w:ascii="Arial" w:hAnsi="Arial"/>
                <w:b/>
                <w:color w:val="010000"/>
                <w:sz w:val="20"/>
              </w:rPr>
              <w:t>Items using capital</w:t>
            </w:r>
          </w:p>
        </w:tc>
        <w:tc>
          <w:tcPr>
            <w:tcW w:w="1664" w:type="pct"/>
            <w:shd w:val="clear" w:color="auto" w:fill="auto"/>
            <w:tcMar>
              <w:top w:w="0" w:type="dxa"/>
              <w:left w:w="20" w:type="dxa"/>
              <w:bottom w:w="0" w:type="dxa"/>
              <w:right w:w="20" w:type="dxa"/>
            </w:tcMar>
            <w:vAlign w:val="center"/>
          </w:tcPr>
          <w:p w14:paraId="7A5B49F4" w14:textId="77777777" w:rsidR="00C62354" w:rsidRPr="000D6C93" w:rsidRDefault="005923CF" w:rsidP="005923CF">
            <w:pPr>
              <w:tabs>
                <w:tab w:val="left" w:pos="336"/>
                <w:tab w:val="left" w:pos="0"/>
              </w:tabs>
              <w:spacing w:after="120" w:line="360" w:lineRule="auto"/>
              <w:jc w:val="center"/>
              <w:rPr>
                <w:rFonts w:ascii="Arial" w:eastAsia="Arial" w:hAnsi="Arial" w:cs="Arial"/>
                <w:b/>
                <w:color w:val="010000"/>
                <w:sz w:val="20"/>
                <w:szCs w:val="20"/>
              </w:rPr>
            </w:pPr>
            <w:r w:rsidRPr="000D6C93">
              <w:rPr>
                <w:rFonts w:ascii="Arial" w:hAnsi="Arial"/>
                <w:b/>
                <w:color w:val="010000"/>
                <w:sz w:val="20"/>
              </w:rPr>
              <w:t>Value (VND)</w:t>
            </w:r>
          </w:p>
        </w:tc>
      </w:tr>
      <w:tr w:rsidR="00C62354" w:rsidRPr="005923CF" w14:paraId="2D988E68" w14:textId="77777777" w:rsidTr="005923CF">
        <w:tc>
          <w:tcPr>
            <w:tcW w:w="384" w:type="pct"/>
            <w:shd w:val="clear" w:color="auto" w:fill="auto"/>
            <w:tcMar>
              <w:top w:w="0" w:type="dxa"/>
              <w:left w:w="20" w:type="dxa"/>
              <w:bottom w:w="0" w:type="dxa"/>
              <w:right w:w="20" w:type="dxa"/>
            </w:tcMar>
            <w:vAlign w:val="center"/>
          </w:tcPr>
          <w:p w14:paraId="46142626"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52" w:type="pct"/>
            <w:shd w:val="clear" w:color="auto" w:fill="auto"/>
            <w:tcMar>
              <w:top w:w="0" w:type="dxa"/>
              <w:left w:w="20" w:type="dxa"/>
              <w:bottom w:w="0" w:type="dxa"/>
              <w:right w:w="20" w:type="dxa"/>
            </w:tcMar>
            <w:vAlign w:val="center"/>
          </w:tcPr>
          <w:p w14:paraId="0E08542D"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Collaborate on 01 experiential education zones</w:t>
            </w:r>
          </w:p>
        </w:tc>
        <w:tc>
          <w:tcPr>
            <w:tcW w:w="1664" w:type="pct"/>
            <w:shd w:val="clear" w:color="auto" w:fill="auto"/>
            <w:tcMar>
              <w:top w:w="0" w:type="dxa"/>
              <w:left w:w="20" w:type="dxa"/>
              <w:bottom w:w="0" w:type="dxa"/>
              <w:right w:w="20" w:type="dxa"/>
            </w:tcMar>
            <w:vAlign w:val="center"/>
          </w:tcPr>
          <w:p w14:paraId="70920A0D"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4,090,980,000</w:t>
            </w:r>
          </w:p>
        </w:tc>
      </w:tr>
      <w:tr w:rsidR="00C62354" w:rsidRPr="005923CF" w14:paraId="49480E15" w14:textId="77777777" w:rsidTr="005923CF">
        <w:tc>
          <w:tcPr>
            <w:tcW w:w="384" w:type="pct"/>
            <w:shd w:val="clear" w:color="auto" w:fill="auto"/>
            <w:tcMar>
              <w:top w:w="0" w:type="dxa"/>
              <w:left w:w="20" w:type="dxa"/>
              <w:bottom w:w="0" w:type="dxa"/>
              <w:right w:w="20" w:type="dxa"/>
            </w:tcMar>
            <w:vAlign w:val="center"/>
          </w:tcPr>
          <w:p w14:paraId="509C0505"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52" w:type="pct"/>
            <w:shd w:val="clear" w:color="auto" w:fill="auto"/>
            <w:tcMar>
              <w:top w:w="0" w:type="dxa"/>
              <w:left w:w="20" w:type="dxa"/>
              <w:bottom w:w="0" w:type="dxa"/>
              <w:right w:w="20" w:type="dxa"/>
            </w:tcMar>
            <w:vAlign w:val="center"/>
          </w:tcPr>
          <w:p w14:paraId="0C797779"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Purchase educational materials and supplies to organize experiential activities in various provinces</w:t>
            </w:r>
          </w:p>
        </w:tc>
        <w:tc>
          <w:tcPr>
            <w:tcW w:w="1664" w:type="pct"/>
            <w:shd w:val="clear" w:color="auto" w:fill="auto"/>
            <w:tcMar>
              <w:top w:w="0" w:type="dxa"/>
              <w:left w:w="20" w:type="dxa"/>
              <w:bottom w:w="0" w:type="dxa"/>
              <w:right w:w="20" w:type="dxa"/>
            </w:tcMar>
            <w:vAlign w:val="center"/>
          </w:tcPr>
          <w:p w14:paraId="2AE90A97"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8,100,000,000</w:t>
            </w:r>
          </w:p>
        </w:tc>
      </w:tr>
      <w:tr w:rsidR="00C62354" w:rsidRPr="005923CF" w14:paraId="0A810CE2" w14:textId="77777777" w:rsidTr="005923CF">
        <w:tc>
          <w:tcPr>
            <w:tcW w:w="384" w:type="pct"/>
            <w:shd w:val="clear" w:color="auto" w:fill="auto"/>
            <w:tcMar>
              <w:top w:w="0" w:type="dxa"/>
              <w:left w:w="20" w:type="dxa"/>
              <w:bottom w:w="0" w:type="dxa"/>
              <w:right w:w="20" w:type="dxa"/>
            </w:tcMar>
            <w:vAlign w:val="center"/>
          </w:tcPr>
          <w:p w14:paraId="6C51238D"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 xml:space="preserve"> </w:t>
            </w:r>
          </w:p>
        </w:tc>
        <w:tc>
          <w:tcPr>
            <w:tcW w:w="2952" w:type="pct"/>
            <w:shd w:val="clear" w:color="auto" w:fill="auto"/>
            <w:tcMar>
              <w:top w:w="0" w:type="dxa"/>
              <w:left w:w="20" w:type="dxa"/>
              <w:bottom w:w="0" w:type="dxa"/>
              <w:right w:w="20" w:type="dxa"/>
            </w:tcMar>
            <w:vAlign w:val="center"/>
          </w:tcPr>
          <w:p w14:paraId="7FCDD5F3" w14:textId="77777777" w:rsidR="00C62354" w:rsidRPr="005923CF" w:rsidRDefault="005923CF" w:rsidP="005923CF">
            <w:pP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Total</w:t>
            </w:r>
          </w:p>
        </w:tc>
        <w:tc>
          <w:tcPr>
            <w:tcW w:w="1664" w:type="pct"/>
            <w:shd w:val="clear" w:color="auto" w:fill="auto"/>
            <w:tcMar>
              <w:top w:w="0" w:type="dxa"/>
              <w:left w:w="20" w:type="dxa"/>
              <w:bottom w:w="0" w:type="dxa"/>
              <w:right w:w="20" w:type="dxa"/>
            </w:tcMar>
            <w:vAlign w:val="center"/>
          </w:tcPr>
          <w:p w14:paraId="1695C3B1" w14:textId="77777777" w:rsidR="00C62354" w:rsidRPr="005923CF" w:rsidRDefault="005923CF" w:rsidP="005923CF">
            <w:pPr>
              <w:tabs>
                <w:tab w:val="left" w:pos="336"/>
                <w:tab w:val="left" w:pos="0"/>
              </w:tabs>
              <w:spacing w:after="120" w:line="360" w:lineRule="auto"/>
              <w:jc w:val="center"/>
              <w:rPr>
                <w:rFonts w:ascii="Arial" w:eastAsia="Arial" w:hAnsi="Arial" w:cs="Arial"/>
                <w:color w:val="010000"/>
                <w:sz w:val="20"/>
                <w:szCs w:val="20"/>
              </w:rPr>
            </w:pPr>
            <w:r>
              <w:rPr>
                <w:rFonts w:ascii="Arial" w:hAnsi="Arial"/>
                <w:color w:val="010000"/>
                <w:sz w:val="20"/>
              </w:rPr>
              <w:t>12,190,980,000</w:t>
            </w:r>
          </w:p>
        </w:tc>
      </w:tr>
    </w:tbl>
    <w:p w14:paraId="13D7FAB1" w14:textId="5573EA89"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3</w:t>
      </w:r>
      <w:r>
        <w:rPr>
          <w:rFonts w:ascii="Arial" w:hAnsi="Arial"/>
          <w:color w:val="010000"/>
          <w:sz w:val="20"/>
        </w:rPr>
        <w:tab/>
        <w:t xml:space="preserve">Reason </w:t>
      </w:r>
      <w:r w:rsidR="005D7D28">
        <w:rPr>
          <w:rFonts w:ascii="Arial" w:hAnsi="Arial"/>
          <w:color w:val="010000"/>
          <w:sz w:val="20"/>
        </w:rPr>
        <w:t>for</w:t>
      </w:r>
      <w:r>
        <w:rPr>
          <w:rFonts w:ascii="Arial" w:hAnsi="Arial"/>
          <w:color w:val="010000"/>
          <w:sz w:val="20"/>
        </w:rPr>
        <w:t xml:space="preserve"> changing</w:t>
      </w:r>
    </w:p>
    <w:p w14:paraId="5FB921CE" w14:textId="52DF76BA" w:rsidR="00C62354" w:rsidRPr="005923CF" w:rsidRDefault="005923CF" w:rsidP="005923CF">
      <w:p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 xml:space="preserve">Due to the net proceeds from the offering </w:t>
      </w:r>
      <w:r w:rsidR="005D7D28">
        <w:rPr>
          <w:rFonts w:ascii="Arial" w:hAnsi="Arial"/>
          <w:color w:val="010000"/>
          <w:sz w:val="20"/>
        </w:rPr>
        <w:t xml:space="preserve">of VND 12,011,930,000 </w:t>
      </w:r>
      <w:r>
        <w:rPr>
          <w:rFonts w:ascii="Arial" w:hAnsi="Arial"/>
          <w:color w:val="010000"/>
          <w:sz w:val="20"/>
        </w:rPr>
        <w:t>being significantly lower than the anticipated amount of VND 32,000,000,000, it is necessary to adjust the capital utilization plan to ensure optimal use of funds and maximize benefits for the Company's shareholders.</w:t>
      </w:r>
    </w:p>
    <w:p w14:paraId="5C52BCF1" w14:textId="76F601DD" w:rsidR="00C62354" w:rsidRPr="005923CF" w:rsidRDefault="005923CF" w:rsidP="005923CF">
      <w:pPr>
        <w:numPr>
          <w:ilvl w:val="0"/>
          <w:numId w:val="9"/>
        </w:num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Proposal No. 2341/2024/</w:t>
      </w:r>
      <w:proofErr w:type="spellStart"/>
      <w:r>
        <w:rPr>
          <w:rFonts w:ascii="Arial" w:hAnsi="Arial"/>
          <w:color w:val="010000"/>
          <w:sz w:val="20"/>
        </w:rPr>
        <w:t>TTr</w:t>
      </w:r>
      <w:proofErr w:type="spellEnd"/>
      <w:r>
        <w:rPr>
          <w:rFonts w:ascii="Arial" w:hAnsi="Arial"/>
          <w:color w:val="010000"/>
          <w:sz w:val="20"/>
        </w:rPr>
        <w:t>-HDQT dated April 23, 2024 approving the amendment of the Company's registered business lines;</w:t>
      </w:r>
    </w:p>
    <w:p w14:paraId="6D2752F9" w14:textId="1D45AA54" w:rsidR="00C62354" w:rsidRPr="005923CF" w:rsidRDefault="005923CF" w:rsidP="005923CF">
      <w:pPr>
        <w:numPr>
          <w:ilvl w:val="0"/>
          <w:numId w:val="9"/>
        </w:numPr>
        <w:pBdr>
          <w:top w:val="nil"/>
          <w:left w:val="nil"/>
          <w:bottom w:val="nil"/>
          <w:right w:val="nil"/>
          <w:between w:val="nil"/>
        </w:pBdr>
        <w:tabs>
          <w:tab w:val="left" w:pos="336"/>
          <w:tab w:val="left" w:pos="0"/>
        </w:tabs>
        <w:spacing w:after="120" w:line="360" w:lineRule="auto"/>
        <w:jc w:val="both"/>
        <w:rPr>
          <w:rFonts w:ascii="Arial" w:eastAsia="Arial" w:hAnsi="Arial" w:cs="Arial"/>
          <w:color w:val="010000"/>
          <w:sz w:val="20"/>
          <w:szCs w:val="20"/>
        </w:rPr>
      </w:pPr>
      <w:r>
        <w:rPr>
          <w:rFonts w:ascii="Arial" w:hAnsi="Arial"/>
          <w:color w:val="010000"/>
          <w:sz w:val="20"/>
        </w:rPr>
        <w:t>Proposal No. 2342/2024/</w:t>
      </w:r>
      <w:proofErr w:type="spellStart"/>
      <w:r>
        <w:rPr>
          <w:rFonts w:ascii="Arial" w:hAnsi="Arial"/>
          <w:color w:val="010000"/>
          <w:sz w:val="20"/>
        </w:rPr>
        <w:t>TTr</w:t>
      </w:r>
      <w:proofErr w:type="spellEnd"/>
      <w:r>
        <w:rPr>
          <w:rFonts w:ascii="Arial" w:hAnsi="Arial"/>
          <w:color w:val="010000"/>
          <w:sz w:val="20"/>
        </w:rPr>
        <w:t xml:space="preserve">-HDQT dated April 23, 2024 </w:t>
      </w:r>
      <w:bookmarkStart w:id="0" w:name="_GoBack"/>
      <w:bookmarkEnd w:id="0"/>
      <w:r>
        <w:rPr>
          <w:rFonts w:ascii="Arial" w:hAnsi="Arial"/>
          <w:color w:val="010000"/>
          <w:sz w:val="20"/>
        </w:rPr>
        <w:t>approving the Company's stock listing registration in 2024.</w:t>
      </w:r>
    </w:p>
    <w:p w14:paraId="18A70A1A" w14:textId="77777777" w:rsidR="00C62354" w:rsidRPr="005923CF" w:rsidRDefault="005923CF" w:rsidP="005923CF">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Pr>
          <w:rFonts w:ascii="Arial" w:hAnsi="Arial"/>
          <w:color w:val="010000"/>
          <w:sz w:val="20"/>
        </w:rPr>
        <w:t>‎‎Article 2. Terms enforcement:</w:t>
      </w:r>
    </w:p>
    <w:p w14:paraId="5B3B53CC" w14:textId="77777777" w:rsidR="00C62354" w:rsidRPr="005923CF" w:rsidRDefault="005923CF" w:rsidP="005923CF">
      <w:pPr>
        <w:numPr>
          <w:ilvl w:val="0"/>
          <w:numId w:val="10"/>
        </w:numPr>
        <w:pBdr>
          <w:top w:val="nil"/>
          <w:left w:val="nil"/>
          <w:bottom w:val="nil"/>
          <w:right w:val="nil"/>
          <w:between w:val="nil"/>
        </w:pBdr>
        <w:tabs>
          <w:tab w:val="left" w:pos="0"/>
          <w:tab w:val="left" w:pos="475"/>
        </w:tabs>
        <w:spacing w:after="120" w:line="360" w:lineRule="auto"/>
        <w:rPr>
          <w:rFonts w:ascii="Arial" w:eastAsia="Arial" w:hAnsi="Arial" w:cs="Arial"/>
          <w:color w:val="010000"/>
          <w:sz w:val="20"/>
          <w:szCs w:val="20"/>
        </w:rPr>
      </w:pPr>
      <w:r>
        <w:rPr>
          <w:rFonts w:ascii="Arial" w:hAnsi="Arial"/>
          <w:color w:val="010000"/>
          <w:sz w:val="20"/>
        </w:rPr>
        <w:t>This General Mandate takes effect from the date of its signing.</w:t>
      </w:r>
    </w:p>
    <w:p w14:paraId="0E0A9679" w14:textId="33C86FB3" w:rsidR="00C62354" w:rsidRPr="005923CF" w:rsidRDefault="005923CF" w:rsidP="005923CF">
      <w:pPr>
        <w:numPr>
          <w:ilvl w:val="0"/>
          <w:numId w:val="10"/>
        </w:numPr>
        <w:pBdr>
          <w:top w:val="nil"/>
          <w:left w:val="nil"/>
          <w:bottom w:val="nil"/>
          <w:right w:val="nil"/>
          <w:between w:val="nil"/>
        </w:pBdr>
        <w:tabs>
          <w:tab w:val="left" w:pos="0"/>
          <w:tab w:val="left" w:pos="475"/>
        </w:tabs>
        <w:spacing w:after="120" w:line="360" w:lineRule="auto"/>
        <w:rPr>
          <w:rFonts w:ascii="Arial" w:eastAsia="Arial" w:hAnsi="Arial" w:cs="Arial"/>
          <w:color w:val="010000"/>
          <w:sz w:val="20"/>
          <w:szCs w:val="20"/>
        </w:rPr>
      </w:pPr>
      <w:r>
        <w:rPr>
          <w:rFonts w:ascii="Arial" w:hAnsi="Arial"/>
          <w:color w:val="010000"/>
          <w:sz w:val="20"/>
        </w:rPr>
        <w:t>The Board of Directors,</w:t>
      </w:r>
      <w:r w:rsidR="009B5044">
        <w:rPr>
          <w:rFonts w:ascii="Arial" w:hAnsi="Arial"/>
          <w:color w:val="010000"/>
          <w:sz w:val="20"/>
        </w:rPr>
        <w:t xml:space="preserve"> </w:t>
      </w:r>
      <w:r>
        <w:rPr>
          <w:rFonts w:ascii="Arial" w:hAnsi="Arial"/>
          <w:color w:val="010000"/>
          <w:sz w:val="20"/>
        </w:rPr>
        <w:t xml:space="preserve">the Supervisory Board, </w:t>
      </w:r>
      <w:r w:rsidR="000D6C93">
        <w:rPr>
          <w:rFonts w:ascii="Arial" w:hAnsi="Arial"/>
          <w:color w:val="010000"/>
          <w:sz w:val="20"/>
        </w:rPr>
        <w:t xml:space="preserve">the </w:t>
      </w:r>
      <w:r>
        <w:rPr>
          <w:rFonts w:ascii="Arial" w:hAnsi="Arial"/>
          <w:color w:val="010000"/>
          <w:sz w:val="20"/>
        </w:rPr>
        <w:t>Board of Management of the Company</w:t>
      </w:r>
      <w:r w:rsidR="000D6C93">
        <w:rPr>
          <w:rFonts w:ascii="Arial" w:hAnsi="Arial"/>
          <w:color w:val="010000"/>
          <w:sz w:val="20"/>
        </w:rPr>
        <w:t>,</w:t>
      </w:r>
      <w:r>
        <w:rPr>
          <w:rFonts w:ascii="Arial" w:hAnsi="Arial"/>
          <w:color w:val="010000"/>
          <w:sz w:val="20"/>
        </w:rPr>
        <w:t xml:space="preserve"> and relevant individuals are responsible for implementing the above contents </w:t>
      </w:r>
      <w:r w:rsidR="000D6C93">
        <w:rPr>
          <w:rFonts w:ascii="Arial" w:hAnsi="Arial"/>
          <w:color w:val="010000"/>
          <w:sz w:val="20"/>
        </w:rPr>
        <w:t>following</w:t>
      </w:r>
      <w:r>
        <w:rPr>
          <w:rFonts w:ascii="Arial" w:hAnsi="Arial"/>
          <w:color w:val="010000"/>
          <w:sz w:val="20"/>
        </w:rPr>
        <w:t xml:space="preserve"> the provisions of law and the Company’s Charter.</w:t>
      </w:r>
    </w:p>
    <w:sectPr w:rsidR="00C62354" w:rsidRPr="005923CF" w:rsidSect="005923C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7D84"/>
    <w:multiLevelType w:val="hybridMultilevel"/>
    <w:tmpl w:val="4BB0F1F6"/>
    <w:lvl w:ilvl="0" w:tplc="D1BEFA00">
      <w:start w:val="1"/>
      <w:numFmt w:val="upperRoman"/>
      <w:lvlText w:val="%1."/>
      <w:lvlJc w:val="left"/>
      <w:pPr>
        <w:ind w:left="1080" w:hanging="720"/>
      </w:pPr>
      <w:rPr>
        <w:rFonts w:hint="default"/>
        <w:b w:val="0"/>
        <w:i w:val="0"/>
        <w:sz w:val="20"/>
      </w:rPr>
    </w:lvl>
    <w:lvl w:ilvl="1" w:tplc="376815E0" w:tentative="1">
      <w:start w:val="1"/>
      <w:numFmt w:val="lowerLetter"/>
      <w:lvlText w:val="%2."/>
      <w:lvlJc w:val="left"/>
      <w:pPr>
        <w:ind w:left="1440" w:hanging="360"/>
      </w:pPr>
      <w:rPr>
        <w:b w:val="0"/>
        <w:i w:val="0"/>
        <w:sz w:val="20"/>
      </w:rPr>
    </w:lvl>
    <w:lvl w:ilvl="2" w:tplc="22CEBF30"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4D74"/>
    <w:multiLevelType w:val="hybridMultilevel"/>
    <w:tmpl w:val="2C0C1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B6151"/>
    <w:multiLevelType w:val="multilevel"/>
    <w:tmpl w:val="83C22A0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9B47A3"/>
    <w:multiLevelType w:val="multilevel"/>
    <w:tmpl w:val="CC44EC7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4812E4"/>
    <w:multiLevelType w:val="multilevel"/>
    <w:tmpl w:val="5068288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DF7D7D"/>
    <w:multiLevelType w:val="multilevel"/>
    <w:tmpl w:val="5092861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D92335"/>
    <w:multiLevelType w:val="multilevel"/>
    <w:tmpl w:val="D08ACBCC"/>
    <w:lvl w:ilvl="0">
      <w:start w:val="9"/>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8E195C"/>
    <w:multiLevelType w:val="multilevel"/>
    <w:tmpl w:val="083C1E9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714FC4"/>
    <w:multiLevelType w:val="multilevel"/>
    <w:tmpl w:val="95FC5C3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9A77FB"/>
    <w:multiLevelType w:val="multilevel"/>
    <w:tmpl w:val="2EF494D2"/>
    <w:lvl w:ilvl="0">
      <w:start w:val="1"/>
      <w:numFmt w:val="decimal"/>
      <w:lvlText w:val="%1."/>
      <w:lvlJc w:val="left"/>
      <w:pPr>
        <w:ind w:left="680" w:hanging="360"/>
      </w:pPr>
      <w:rPr>
        <w:rFonts w:ascii="Arial" w:eastAsia="Arial" w:hAnsi="Arial" w:cs="Arial"/>
        <w:b w:val="0"/>
        <w:i w:val="0"/>
        <w:sz w:val="20"/>
        <w:szCs w:val="20"/>
        <w:u w:val="none"/>
      </w:rPr>
    </w:lvl>
    <w:lvl w:ilvl="1">
      <w:start w:val="1"/>
      <w:numFmt w:val="lowerLetter"/>
      <w:lvlText w:val="%2."/>
      <w:lvlJc w:val="left"/>
      <w:pPr>
        <w:ind w:left="1400" w:hanging="360"/>
      </w:pPr>
      <w:rPr>
        <w:rFonts w:ascii="Arial" w:eastAsia="Arial" w:hAnsi="Arial" w:cs="Arial"/>
        <w:b w:val="0"/>
        <w:i w:val="0"/>
        <w:sz w:val="20"/>
        <w:szCs w:val="20"/>
      </w:rPr>
    </w:lvl>
    <w:lvl w:ilvl="2">
      <w:start w:val="1"/>
      <w:numFmt w:val="lowerRoman"/>
      <w:lvlText w:val="%3."/>
      <w:lvlJc w:val="right"/>
      <w:pPr>
        <w:ind w:left="2120" w:hanging="180"/>
      </w:pPr>
      <w:rPr>
        <w:rFonts w:ascii="Arial" w:eastAsia="Arial" w:hAnsi="Arial" w:cs="Arial"/>
        <w:b w:val="0"/>
        <w:i w:val="0"/>
        <w:sz w:val="20"/>
        <w:szCs w:val="20"/>
      </w:r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10">
    <w:nsid w:val="7A2D6D2E"/>
    <w:multiLevelType w:val="multilevel"/>
    <w:tmpl w:val="51988F2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E8560A"/>
    <w:multiLevelType w:val="multilevel"/>
    <w:tmpl w:val="F288F9E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7"/>
  </w:num>
  <w:num w:numId="4">
    <w:abstractNumId w:val="11"/>
  </w:num>
  <w:num w:numId="5">
    <w:abstractNumId w:val="10"/>
  </w:num>
  <w:num w:numId="6">
    <w:abstractNumId w:val="4"/>
  </w:num>
  <w:num w:numId="7">
    <w:abstractNumId w:val="2"/>
  </w:num>
  <w:num w:numId="8">
    <w:abstractNumId w:val="5"/>
  </w:num>
  <w:num w:numId="9">
    <w:abstractNumId w:val="6"/>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54"/>
    <w:rsid w:val="000D6C93"/>
    <w:rsid w:val="005923CF"/>
    <w:rsid w:val="005D7D28"/>
    <w:rsid w:val="007361C2"/>
    <w:rsid w:val="009B5044"/>
    <w:rsid w:val="00C0788B"/>
    <w:rsid w:val="00C62354"/>
    <w:rsid w:val="00C83A49"/>
    <w:rsid w:val="00DA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9C587"/>
  <w15:docId w15:val="{1C8E2158-7264-4A35-8243-74418DA2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6">
    <w:name w:val="Tiêu đề #6_"/>
    <w:basedOn w:val="DefaultParagraphFont"/>
    <w:link w:val="Tiu6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E16663"/>
      <w:sz w:val="50"/>
      <w:szCs w:val="50"/>
      <w:u w:val="none"/>
      <w:shd w:val="clear" w:color="auto" w:fill="auto"/>
    </w:rPr>
  </w:style>
  <w:style w:type="character" w:customStyle="1" w:styleId="Tiu5">
    <w:name w:val="Tiêu đề #5_"/>
    <w:basedOn w:val="DefaultParagraphFont"/>
    <w:link w:val="Tiu50"/>
    <w:rPr>
      <w:rFonts w:ascii="Arial" w:eastAsia="Arial" w:hAnsi="Arial" w:cs="Arial"/>
      <w:b w:val="0"/>
      <w:bCs w:val="0"/>
      <w:i w:val="0"/>
      <w:iCs w:val="0"/>
      <w:smallCaps w:val="0"/>
      <w:strike w:val="0"/>
      <w:color w:val="E16663"/>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E16663"/>
      <w:sz w:val="17"/>
      <w:szCs w:val="17"/>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val="0"/>
      <w:bCs w:val="0"/>
      <w:i w:val="0"/>
      <w:iCs w:val="0"/>
      <w:smallCaps/>
      <w:strike w:val="0"/>
      <w:color w:val="E16663"/>
      <w:sz w:val="30"/>
      <w:szCs w:val="3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8"/>
      <w:szCs w:val="3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4"/>
      <w:szCs w:val="1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444447"/>
      <w:sz w:val="34"/>
      <w:szCs w:val="34"/>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444447"/>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7" w:lineRule="auto"/>
    </w:pPr>
    <w:rPr>
      <w:rFonts w:ascii="Times New Roman" w:eastAsia="Times New Roman" w:hAnsi="Times New Roman" w:cs="Times New Roman"/>
      <w:sz w:val="22"/>
      <w:szCs w:val="22"/>
    </w:rPr>
  </w:style>
  <w:style w:type="paragraph" w:customStyle="1" w:styleId="Tiu60">
    <w:name w:val="Tiêu đề #6"/>
    <w:basedOn w:val="Normal"/>
    <w:link w:val="Tiu6"/>
    <w:pPr>
      <w:spacing w:after="40"/>
      <w:outlineLvl w:val="5"/>
    </w:pPr>
    <w:rPr>
      <w:rFonts w:ascii="Times New Roman" w:eastAsia="Times New Roman" w:hAnsi="Times New Roman" w:cs="Times New Roman"/>
      <w:b/>
      <w:bCs/>
      <w:sz w:val="22"/>
      <w:szCs w:val="22"/>
    </w:rPr>
  </w:style>
  <w:style w:type="paragraph" w:customStyle="1" w:styleId="Tiu10">
    <w:name w:val="Tiêu đề #1"/>
    <w:basedOn w:val="Normal"/>
    <w:link w:val="Tiu1"/>
    <w:pPr>
      <w:jc w:val="right"/>
      <w:outlineLvl w:val="0"/>
    </w:pPr>
    <w:rPr>
      <w:rFonts w:ascii="Times New Roman" w:eastAsia="Times New Roman" w:hAnsi="Times New Roman" w:cs="Times New Roman"/>
      <w:color w:val="E16663"/>
      <w:sz w:val="50"/>
      <w:szCs w:val="50"/>
    </w:rPr>
  </w:style>
  <w:style w:type="paragraph" w:customStyle="1" w:styleId="Tiu50">
    <w:name w:val="Tiêu đề #5"/>
    <w:basedOn w:val="Normal"/>
    <w:link w:val="Tiu5"/>
    <w:pPr>
      <w:spacing w:after="80"/>
      <w:jc w:val="right"/>
      <w:outlineLvl w:val="4"/>
    </w:pPr>
    <w:rPr>
      <w:rFonts w:ascii="Arial" w:eastAsia="Arial" w:hAnsi="Arial" w:cs="Arial"/>
      <w:color w:val="E16663"/>
      <w:sz w:val="22"/>
      <w:szCs w:val="22"/>
    </w:rPr>
  </w:style>
  <w:style w:type="paragraph" w:customStyle="1" w:styleId="Vnbnnidung40">
    <w:name w:val="Văn bản nội dung (4)"/>
    <w:basedOn w:val="Normal"/>
    <w:link w:val="Vnbnnidung4"/>
    <w:rPr>
      <w:rFonts w:ascii="Arial" w:eastAsia="Arial" w:hAnsi="Arial" w:cs="Arial"/>
      <w:color w:val="E16663"/>
      <w:sz w:val="17"/>
      <w:szCs w:val="17"/>
    </w:rPr>
  </w:style>
  <w:style w:type="paragraph" w:customStyle="1" w:styleId="Tiu40">
    <w:name w:val="Tiêu đề #4"/>
    <w:basedOn w:val="Normal"/>
    <w:link w:val="Tiu4"/>
    <w:pPr>
      <w:outlineLvl w:val="3"/>
    </w:pPr>
    <w:rPr>
      <w:rFonts w:ascii="Times New Roman" w:eastAsia="Times New Roman" w:hAnsi="Times New Roman" w:cs="Times New Roman"/>
      <w:smallCaps/>
      <w:color w:val="E16663"/>
      <w:sz w:val="30"/>
      <w:szCs w:val="30"/>
    </w:rPr>
  </w:style>
  <w:style w:type="paragraph" w:customStyle="1" w:styleId="Vnbnnidung30">
    <w:name w:val="Văn bản nội dung (3)"/>
    <w:basedOn w:val="Normal"/>
    <w:link w:val="Vnbnnidung3"/>
    <w:pPr>
      <w:jc w:val="center"/>
    </w:pPr>
    <w:rPr>
      <w:rFonts w:ascii="Arial" w:eastAsia="Arial" w:hAnsi="Arial" w:cs="Arial"/>
      <w:sz w:val="38"/>
      <w:szCs w:val="38"/>
    </w:rPr>
  </w:style>
  <w:style w:type="paragraph" w:customStyle="1" w:styleId="Vnbnnidung20">
    <w:name w:val="Văn bản nội dung (2)"/>
    <w:basedOn w:val="Normal"/>
    <w:link w:val="Vnbnnidung2"/>
    <w:rPr>
      <w:rFonts w:ascii="Arial" w:eastAsia="Arial" w:hAnsi="Arial" w:cs="Arial"/>
      <w:sz w:val="14"/>
      <w:szCs w:val="14"/>
    </w:rPr>
  </w:style>
  <w:style w:type="paragraph" w:customStyle="1" w:styleId="Tiu20">
    <w:name w:val="Tiêu đề #2"/>
    <w:basedOn w:val="Normal"/>
    <w:link w:val="Tiu2"/>
    <w:pPr>
      <w:spacing w:after="120"/>
      <w:ind w:firstLine="300"/>
      <w:outlineLvl w:val="1"/>
    </w:pPr>
    <w:rPr>
      <w:rFonts w:ascii="Times New Roman" w:eastAsia="Times New Roman" w:hAnsi="Times New Roman" w:cs="Times New Roman"/>
      <w:color w:val="444447"/>
      <w:sz w:val="34"/>
      <w:szCs w:val="34"/>
    </w:rPr>
  </w:style>
  <w:style w:type="paragraph" w:customStyle="1" w:styleId="Tiu30">
    <w:name w:val="Tiêu đề #3"/>
    <w:basedOn w:val="Normal"/>
    <w:link w:val="Tiu3"/>
    <w:pPr>
      <w:jc w:val="center"/>
      <w:outlineLvl w:val="2"/>
    </w:pPr>
    <w:rPr>
      <w:rFonts w:ascii="Times New Roman" w:eastAsia="Times New Roman" w:hAnsi="Times New Roman" w:cs="Times New Roman"/>
      <w:b/>
      <w:bCs/>
      <w:color w:val="444447"/>
      <w:sz w:val="30"/>
      <w:szCs w:val="30"/>
    </w:rPr>
  </w:style>
  <w:style w:type="paragraph" w:customStyle="1" w:styleId="Khc0">
    <w:name w:val="Khác"/>
    <w:basedOn w:val="Normal"/>
    <w:link w:val="Khc"/>
    <w:pPr>
      <w:spacing w:line="257" w:lineRule="auto"/>
    </w:pPr>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88" w:lineRule="auto"/>
      <w:ind w:firstLine="18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92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rH1D9KgpWiGvmsgRfHCWfLQkuQ==">CgMxLjA4AHIhMWJFOWw4enlhODR1b21IM2MyOHVaWXh5TEp4T1AxTHBD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1128</Words>
  <Characters>6331</Characters>
  <Application>Microsoft Office Word</Application>
  <DocSecurity>0</DocSecurity>
  <Lines>180</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2024-05-06T02:10:00Z</dcterms:created>
  <dcterms:modified xsi:type="dcterms:W3CDTF">2024-05-07T07:42:00Z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0fb67d99d9132f8d5f46c8266f4d79b174acf4611f47dd7d7b0dbfc8bd0ea078</vt:lpwstr>
  </property>
</Properties>
</file>