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27D0" w14:textId="77777777" w:rsidR="00C421AE" w:rsidRDefault="00C421AE" w:rsidP="00811CB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CEO: Annual General Mandate 2024</w:t>
      </w:r>
    </w:p>
    <w:p w14:paraId="00000002" w14:textId="77777777" w:rsidR="00B25F22" w:rsidRPr="00C421AE" w:rsidRDefault="00D42753" w:rsidP="00811C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May 3, 2024, C.E.O Group Joint Stock Company announced General Mandate No. 01/2024/NQ/CEO-DHDCD as follows: </w:t>
      </w:r>
    </w:p>
    <w:p w14:paraId="00000003" w14:textId="77777777" w:rsidR="00B25F22" w:rsidRPr="00C421AE" w:rsidRDefault="00D42753" w:rsidP="00811CBD">
      <w:pPr>
        <w:pBdr>
          <w:top w:val="nil"/>
          <w:left w:val="nil"/>
          <w:bottom w:val="nil"/>
          <w:right w:val="nil"/>
          <w:between w:val="nil"/>
        </w:pBdr>
        <w:tabs>
          <w:tab w:val="left" w:pos="432"/>
          <w:tab w:val="left" w:pos="9428"/>
        </w:tabs>
        <w:spacing w:after="120" w:line="360" w:lineRule="auto"/>
        <w:jc w:val="both"/>
        <w:rPr>
          <w:rFonts w:ascii="Arial" w:eastAsia="Arial" w:hAnsi="Arial" w:cs="Arial"/>
          <w:color w:val="010000"/>
          <w:sz w:val="20"/>
          <w:szCs w:val="20"/>
        </w:rPr>
      </w:pPr>
      <w:r>
        <w:rPr>
          <w:rFonts w:ascii="Arial" w:hAnsi="Arial"/>
          <w:color w:val="010000"/>
          <w:sz w:val="20"/>
        </w:rPr>
        <w:t xml:space="preserve">‎‎Article 1. The Annual General Meeting of Shareholders 2024 of C.E.O Group Joint Stock Company approves on: </w:t>
      </w:r>
    </w:p>
    <w:p w14:paraId="00000004" w14:textId="77777777" w:rsidR="00B25F22" w:rsidRPr="00C421AE" w:rsidRDefault="00D42753" w:rsidP="00811CBD">
      <w:pPr>
        <w:numPr>
          <w:ilvl w:val="0"/>
          <w:numId w:val="3"/>
        </w:numPr>
        <w:pBdr>
          <w:top w:val="nil"/>
          <w:left w:val="nil"/>
          <w:bottom w:val="nil"/>
          <w:right w:val="nil"/>
          <w:between w:val="nil"/>
        </w:pBdr>
        <w:tabs>
          <w:tab w:val="left" w:pos="432"/>
          <w:tab w:val="left" w:pos="974"/>
          <w:tab w:val="left" w:pos="10252"/>
          <w:tab w:val="left" w:pos="10482"/>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 xml:space="preserve">Approve the Report of the Board of Management </w:t>
      </w:r>
      <w:bookmarkStart w:id="1" w:name="_GoBack"/>
      <w:bookmarkEnd w:id="1"/>
      <w:r>
        <w:rPr>
          <w:rFonts w:ascii="Arial" w:hAnsi="Arial"/>
          <w:color w:val="010000"/>
          <w:sz w:val="20"/>
        </w:rPr>
        <w:t xml:space="preserve">on production and business results in 2023 and production and business plan for 2024. </w:t>
      </w:r>
    </w:p>
    <w:p w14:paraId="00000005" w14:textId="77777777" w:rsidR="00B25F22" w:rsidRPr="00C421AE" w:rsidRDefault="00D42753" w:rsidP="00811CBD">
      <w:pPr>
        <w:numPr>
          <w:ilvl w:val="0"/>
          <w:numId w:val="4"/>
        </w:numPr>
        <w:pBdr>
          <w:top w:val="nil"/>
          <w:left w:val="nil"/>
          <w:bottom w:val="nil"/>
          <w:right w:val="nil"/>
          <w:between w:val="nil"/>
        </w:pBdr>
        <w:tabs>
          <w:tab w:val="left" w:pos="432"/>
          <w:tab w:val="left" w:pos="1087"/>
        </w:tabs>
        <w:spacing w:after="120" w:line="360" w:lineRule="auto"/>
        <w:ind w:left="0" w:firstLine="0"/>
        <w:jc w:val="both"/>
        <w:rPr>
          <w:rFonts w:ascii="Arial" w:eastAsia="Arial" w:hAnsi="Arial" w:cs="Arial"/>
          <w:color w:val="010000"/>
          <w:sz w:val="20"/>
          <w:szCs w:val="20"/>
        </w:rPr>
      </w:pPr>
      <w:r>
        <w:rPr>
          <w:rFonts w:ascii="Arial" w:hAnsi="Arial"/>
          <w:color w:val="010000"/>
          <w:sz w:val="20"/>
        </w:rPr>
        <w:t>The production and business plan targets in 2023 (According to the data of the audited consolidated Financial Statements 2023)</w:t>
      </w:r>
    </w:p>
    <w:p w14:paraId="00000006" w14:textId="77777777" w:rsidR="00B25F22" w:rsidRPr="00C421AE" w:rsidRDefault="00D42753" w:rsidP="00811CBD">
      <w:pPr>
        <w:numPr>
          <w:ilvl w:val="0"/>
          <w:numId w:val="2"/>
        </w:numPr>
        <w:pBdr>
          <w:top w:val="nil"/>
          <w:left w:val="nil"/>
          <w:bottom w:val="nil"/>
          <w:right w:val="nil"/>
          <w:between w:val="nil"/>
        </w:pBdr>
        <w:tabs>
          <w:tab w:val="left" w:pos="432"/>
          <w:tab w:val="left" w:pos="1087"/>
        </w:tabs>
        <w:spacing w:after="120" w:line="360" w:lineRule="auto"/>
        <w:ind w:left="0" w:firstLine="0"/>
        <w:jc w:val="both"/>
        <w:rPr>
          <w:rFonts w:ascii="Arial" w:hAnsi="Arial" w:cs="Arial"/>
          <w:color w:val="010000"/>
          <w:sz w:val="20"/>
          <w:szCs w:val="20"/>
        </w:rPr>
      </w:pPr>
      <w:r>
        <w:rPr>
          <w:rFonts w:ascii="Arial" w:hAnsi="Arial"/>
          <w:color w:val="010000"/>
          <w:sz w:val="20"/>
        </w:rPr>
        <w:t>Revenue:</w:t>
      </w:r>
    </w:p>
    <w:p w14:paraId="00000007" w14:textId="77777777" w:rsidR="00B25F22" w:rsidRPr="00C421AE" w:rsidRDefault="00D42753" w:rsidP="00811C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consolidated revenue in 2023: VND 1,439 million, reaching 48% of the plan</w:t>
      </w:r>
    </w:p>
    <w:p w14:paraId="00000008" w14:textId="77777777" w:rsidR="00B25F22" w:rsidRPr="00C421AE" w:rsidRDefault="00D42753" w:rsidP="00811CBD">
      <w:pPr>
        <w:numPr>
          <w:ilvl w:val="0"/>
          <w:numId w:val="2"/>
        </w:numPr>
        <w:pBdr>
          <w:top w:val="nil"/>
          <w:left w:val="nil"/>
          <w:bottom w:val="nil"/>
          <w:right w:val="nil"/>
          <w:between w:val="nil"/>
        </w:pBdr>
        <w:tabs>
          <w:tab w:val="left" w:pos="432"/>
          <w:tab w:val="left" w:pos="1087"/>
        </w:tabs>
        <w:spacing w:after="120" w:line="360" w:lineRule="auto"/>
        <w:ind w:left="0" w:firstLine="0"/>
        <w:jc w:val="both"/>
        <w:rPr>
          <w:rFonts w:ascii="Arial" w:hAnsi="Arial" w:cs="Arial"/>
          <w:color w:val="010000"/>
          <w:sz w:val="20"/>
          <w:szCs w:val="20"/>
        </w:rPr>
      </w:pPr>
      <w:r>
        <w:rPr>
          <w:rFonts w:ascii="Arial" w:hAnsi="Arial"/>
          <w:color w:val="010000"/>
          <w:sz w:val="20"/>
        </w:rPr>
        <w:t>Profit after tax:</w:t>
      </w:r>
    </w:p>
    <w:p w14:paraId="00000009" w14:textId="77777777" w:rsidR="00B25F22" w:rsidRPr="00C421AE" w:rsidRDefault="00D42753" w:rsidP="00811C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of the Company in 2023 is VND 121.2 billion, reaching 38.5% of the Plan.</w:t>
      </w:r>
    </w:p>
    <w:p w14:paraId="0000000A" w14:textId="77777777" w:rsidR="00B25F22" w:rsidRPr="00C421AE" w:rsidRDefault="00D42753" w:rsidP="00811CBD">
      <w:pPr>
        <w:numPr>
          <w:ilvl w:val="0"/>
          <w:numId w:val="4"/>
        </w:numPr>
        <w:pBdr>
          <w:top w:val="nil"/>
          <w:left w:val="nil"/>
          <w:bottom w:val="nil"/>
          <w:right w:val="nil"/>
          <w:between w:val="nil"/>
        </w:pBdr>
        <w:tabs>
          <w:tab w:val="left" w:pos="432"/>
          <w:tab w:val="left" w:pos="1087"/>
        </w:tabs>
        <w:spacing w:after="120" w:line="360" w:lineRule="auto"/>
        <w:ind w:left="0" w:firstLine="0"/>
        <w:jc w:val="both"/>
        <w:rPr>
          <w:rFonts w:ascii="Arial" w:eastAsia="Arial" w:hAnsi="Arial" w:cs="Arial"/>
          <w:color w:val="010000"/>
          <w:sz w:val="20"/>
          <w:szCs w:val="20"/>
        </w:rPr>
      </w:pPr>
      <w:r>
        <w:rPr>
          <w:rFonts w:ascii="Arial" w:hAnsi="Arial"/>
          <w:color w:val="010000"/>
          <w:sz w:val="20"/>
        </w:rPr>
        <w:t>Expected targets of the production and business Plan for 2024.</w:t>
      </w:r>
    </w:p>
    <w:p w14:paraId="0000000B" w14:textId="77777777" w:rsidR="00B25F22" w:rsidRPr="00C421AE" w:rsidRDefault="00D42753" w:rsidP="00811CBD">
      <w:pPr>
        <w:numPr>
          <w:ilvl w:val="0"/>
          <w:numId w:val="2"/>
        </w:numPr>
        <w:pBdr>
          <w:top w:val="nil"/>
          <w:left w:val="nil"/>
          <w:bottom w:val="nil"/>
          <w:right w:val="nil"/>
          <w:between w:val="nil"/>
        </w:pBdr>
        <w:tabs>
          <w:tab w:val="left" w:pos="432"/>
          <w:tab w:val="left" w:pos="1087"/>
        </w:tabs>
        <w:spacing w:after="120" w:line="360" w:lineRule="auto"/>
        <w:ind w:left="0" w:firstLine="0"/>
        <w:jc w:val="both"/>
        <w:rPr>
          <w:rFonts w:ascii="Arial" w:hAnsi="Arial" w:cs="Arial"/>
          <w:color w:val="010000"/>
          <w:sz w:val="20"/>
          <w:szCs w:val="20"/>
        </w:rPr>
      </w:pPr>
      <w:r>
        <w:rPr>
          <w:rFonts w:ascii="Arial" w:hAnsi="Arial"/>
          <w:color w:val="010000"/>
          <w:sz w:val="20"/>
        </w:rPr>
        <w:t>Total consolidated revenue VND 2,100 billion;</w:t>
      </w:r>
    </w:p>
    <w:p w14:paraId="0000000C" w14:textId="77777777" w:rsidR="00B25F22" w:rsidRPr="00C421AE" w:rsidRDefault="00D42753" w:rsidP="00811CBD">
      <w:pPr>
        <w:numPr>
          <w:ilvl w:val="0"/>
          <w:numId w:val="2"/>
        </w:numPr>
        <w:pBdr>
          <w:top w:val="nil"/>
          <w:left w:val="nil"/>
          <w:bottom w:val="nil"/>
          <w:right w:val="nil"/>
          <w:between w:val="nil"/>
        </w:pBdr>
        <w:tabs>
          <w:tab w:val="left" w:pos="432"/>
          <w:tab w:val="left" w:pos="1087"/>
        </w:tabs>
        <w:spacing w:after="120" w:line="360" w:lineRule="auto"/>
        <w:ind w:left="0" w:firstLine="0"/>
        <w:jc w:val="both"/>
        <w:rPr>
          <w:rFonts w:ascii="Arial" w:hAnsi="Arial" w:cs="Arial"/>
          <w:color w:val="010000"/>
          <w:sz w:val="20"/>
          <w:szCs w:val="20"/>
        </w:rPr>
      </w:pPr>
      <w:r>
        <w:rPr>
          <w:rFonts w:ascii="Arial" w:hAnsi="Arial"/>
          <w:color w:val="010000"/>
          <w:sz w:val="20"/>
        </w:rPr>
        <w:t>Consolidated profit after tax: VND 150 billion;</w:t>
      </w:r>
    </w:p>
    <w:p w14:paraId="0000000D" w14:textId="77777777" w:rsidR="00B25F22" w:rsidRPr="00C421AE" w:rsidRDefault="00D42753" w:rsidP="00811CBD">
      <w:pPr>
        <w:numPr>
          <w:ilvl w:val="0"/>
          <w:numId w:val="2"/>
        </w:numPr>
        <w:pBdr>
          <w:top w:val="nil"/>
          <w:left w:val="nil"/>
          <w:bottom w:val="nil"/>
          <w:right w:val="nil"/>
          <w:between w:val="nil"/>
        </w:pBdr>
        <w:tabs>
          <w:tab w:val="left" w:pos="432"/>
          <w:tab w:val="left" w:pos="1087"/>
        </w:tabs>
        <w:spacing w:after="120" w:line="360" w:lineRule="auto"/>
        <w:ind w:left="0" w:firstLine="0"/>
        <w:jc w:val="both"/>
        <w:rPr>
          <w:rFonts w:ascii="Arial" w:hAnsi="Arial" w:cs="Arial"/>
          <w:color w:val="010000"/>
          <w:sz w:val="20"/>
          <w:szCs w:val="20"/>
        </w:rPr>
      </w:pPr>
      <w:r>
        <w:rPr>
          <w:rFonts w:ascii="Arial" w:hAnsi="Arial"/>
          <w:color w:val="010000"/>
          <w:sz w:val="20"/>
        </w:rPr>
        <w:t>Expected dividend: 5-10%</w:t>
      </w:r>
    </w:p>
    <w:p w14:paraId="0000000E" w14:textId="77777777" w:rsidR="00B25F22" w:rsidRPr="00C421AE" w:rsidRDefault="00D42753" w:rsidP="00811CBD">
      <w:pPr>
        <w:numPr>
          <w:ilvl w:val="0"/>
          <w:numId w:val="3"/>
        </w:numPr>
        <w:pBdr>
          <w:top w:val="nil"/>
          <w:left w:val="nil"/>
          <w:bottom w:val="nil"/>
          <w:right w:val="nil"/>
          <w:between w:val="nil"/>
        </w:pBdr>
        <w:tabs>
          <w:tab w:val="left" w:pos="432"/>
          <w:tab w:val="left" w:pos="974"/>
        </w:tabs>
        <w:spacing w:after="120" w:line="360" w:lineRule="auto"/>
        <w:jc w:val="both"/>
        <w:rPr>
          <w:rFonts w:ascii="Arial" w:hAnsi="Arial" w:cs="Arial"/>
          <w:color w:val="010000"/>
          <w:sz w:val="20"/>
          <w:szCs w:val="20"/>
        </w:rPr>
      </w:pPr>
      <w:r>
        <w:rPr>
          <w:rFonts w:ascii="Arial" w:hAnsi="Arial"/>
          <w:color w:val="010000"/>
          <w:sz w:val="20"/>
        </w:rPr>
        <w:t xml:space="preserve">Approve the Report on the activities of the Board of Directors in 2023 and the plan for 2024 </w:t>
      </w:r>
    </w:p>
    <w:p w14:paraId="0000000F" w14:textId="77777777" w:rsidR="00B25F22" w:rsidRPr="00C421AE" w:rsidRDefault="00D42753" w:rsidP="00811CBD">
      <w:pPr>
        <w:numPr>
          <w:ilvl w:val="0"/>
          <w:numId w:val="3"/>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Pr>
          <w:rFonts w:ascii="Arial" w:hAnsi="Arial"/>
          <w:color w:val="010000"/>
          <w:sz w:val="20"/>
        </w:rPr>
        <w:t>Approve the Report on activities of the Supervisory Board in 2023 and the plan for 2024.</w:t>
      </w:r>
    </w:p>
    <w:p w14:paraId="00000010" w14:textId="77777777" w:rsidR="00B25F22" w:rsidRPr="00C421AE" w:rsidRDefault="00D42753" w:rsidP="00811CBD">
      <w:pPr>
        <w:numPr>
          <w:ilvl w:val="0"/>
          <w:numId w:val="3"/>
        </w:numPr>
        <w:pBdr>
          <w:top w:val="nil"/>
          <w:left w:val="nil"/>
          <w:bottom w:val="nil"/>
          <w:right w:val="nil"/>
          <w:between w:val="nil"/>
        </w:pBdr>
        <w:tabs>
          <w:tab w:val="left" w:pos="432"/>
          <w:tab w:val="left" w:pos="974"/>
        </w:tabs>
        <w:spacing w:after="120" w:line="360" w:lineRule="auto"/>
        <w:jc w:val="both"/>
        <w:rPr>
          <w:rFonts w:ascii="Arial" w:eastAsia="Arial" w:hAnsi="Arial" w:cs="Arial"/>
          <w:bCs/>
          <w:color w:val="010000"/>
          <w:sz w:val="20"/>
          <w:szCs w:val="20"/>
        </w:rPr>
      </w:pPr>
      <w:r>
        <w:rPr>
          <w:rFonts w:ascii="Arial" w:hAnsi="Arial"/>
          <w:color w:val="010000"/>
          <w:sz w:val="20"/>
        </w:rPr>
        <w:t xml:space="preserve">Approve the audited Financial Statements 2023, the profit distribution plan in 2023, and the principles for using the Investment and Development Fund. </w:t>
      </w:r>
    </w:p>
    <w:p w14:paraId="6D226043" w14:textId="342EE569" w:rsidR="00402955" w:rsidRPr="00C421AE" w:rsidRDefault="00402955" w:rsidP="00811CBD">
      <w:pPr>
        <w:pStyle w:val="Tablecaption0"/>
        <w:tabs>
          <w:tab w:val="left" w:pos="432"/>
        </w:tabs>
        <w:spacing w:after="120" w:line="360" w:lineRule="auto"/>
        <w:ind w:firstLine="0"/>
        <w:jc w:val="both"/>
        <w:rPr>
          <w:rFonts w:ascii="Arial" w:hAnsi="Arial" w:cs="Arial"/>
          <w:b w:val="0"/>
          <w:color w:val="010000"/>
          <w:sz w:val="20"/>
        </w:rPr>
      </w:pPr>
      <w:r>
        <w:rPr>
          <w:rFonts w:ascii="Arial" w:hAnsi="Arial"/>
          <w:b w:val="0"/>
          <w:color w:val="010000"/>
          <w:sz w:val="20"/>
        </w:rPr>
        <w:t>Plan on profit distribution in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46"/>
        <w:gridCol w:w="5304"/>
        <w:gridCol w:w="1134"/>
        <w:gridCol w:w="1933"/>
      </w:tblGrid>
      <w:tr w:rsidR="00402955" w:rsidRPr="00C421AE" w14:paraId="392B0966" w14:textId="77777777" w:rsidTr="00C421AE">
        <w:tc>
          <w:tcPr>
            <w:tcW w:w="358" w:type="pct"/>
            <w:shd w:val="clear" w:color="auto" w:fill="auto"/>
            <w:vAlign w:val="center"/>
          </w:tcPr>
          <w:p w14:paraId="5AD3D663"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szCs w:val="22"/>
              </w:rPr>
            </w:pPr>
            <w:r>
              <w:rPr>
                <w:rFonts w:ascii="Arial" w:hAnsi="Arial"/>
                <w:color w:val="010000"/>
                <w:sz w:val="20"/>
              </w:rPr>
              <w:t>No.</w:t>
            </w:r>
          </w:p>
        </w:tc>
        <w:tc>
          <w:tcPr>
            <w:tcW w:w="2941" w:type="pct"/>
            <w:shd w:val="clear" w:color="auto" w:fill="auto"/>
            <w:vAlign w:val="center"/>
          </w:tcPr>
          <w:p w14:paraId="0BD46B1C"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szCs w:val="22"/>
              </w:rPr>
            </w:pPr>
            <w:r>
              <w:rPr>
                <w:rFonts w:ascii="Arial" w:hAnsi="Arial"/>
                <w:color w:val="010000"/>
                <w:sz w:val="20"/>
              </w:rPr>
              <w:t>Content</w:t>
            </w:r>
          </w:p>
        </w:tc>
        <w:tc>
          <w:tcPr>
            <w:tcW w:w="629" w:type="pct"/>
            <w:shd w:val="clear" w:color="auto" w:fill="auto"/>
            <w:vAlign w:val="center"/>
          </w:tcPr>
          <w:p w14:paraId="6F1DCE29" w14:textId="7CAC217B" w:rsidR="00402955" w:rsidRPr="00C421AE" w:rsidRDefault="00B8438A" w:rsidP="00811CBD">
            <w:pPr>
              <w:pStyle w:val="Other0"/>
              <w:tabs>
                <w:tab w:val="left" w:pos="432"/>
              </w:tabs>
              <w:spacing w:after="120" w:line="360" w:lineRule="auto"/>
              <w:ind w:firstLine="0"/>
              <w:jc w:val="both"/>
              <w:rPr>
                <w:rFonts w:ascii="Arial" w:hAnsi="Arial" w:cs="Arial"/>
                <w:color w:val="010000"/>
                <w:sz w:val="20"/>
                <w:szCs w:val="22"/>
              </w:rPr>
            </w:pPr>
            <w:r>
              <w:rPr>
                <w:rFonts w:ascii="Arial" w:hAnsi="Arial"/>
                <w:color w:val="010000"/>
                <w:sz w:val="20"/>
              </w:rPr>
              <w:t>Unit:</w:t>
            </w:r>
          </w:p>
        </w:tc>
        <w:tc>
          <w:tcPr>
            <w:tcW w:w="1072" w:type="pct"/>
            <w:shd w:val="clear" w:color="auto" w:fill="auto"/>
            <w:vAlign w:val="center"/>
          </w:tcPr>
          <w:p w14:paraId="657AF58D"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szCs w:val="22"/>
              </w:rPr>
            </w:pPr>
            <w:r>
              <w:rPr>
                <w:rFonts w:ascii="Arial" w:hAnsi="Arial"/>
                <w:color w:val="010000"/>
                <w:sz w:val="20"/>
              </w:rPr>
              <w:t>Amount</w:t>
            </w:r>
          </w:p>
        </w:tc>
      </w:tr>
      <w:tr w:rsidR="00402955" w:rsidRPr="00C421AE" w14:paraId="153DA0A1" w14:textId="77777777" w:rsidTr="00C421AE">
        <w:tc>
          <w:tcPr>
            <w:tcW w:w="358" w:type="pct"/>
            <w:shd w:val="clear" w:color="auto" w:fill="auto"/>
            <w:vAlign w:val="center"/>
          </w:tcPr>
          <w:p w14:paraId="43146C77"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1</w:t>
            </w:r>
          </w:p>
        </w:tc>
        <w:tc>
          <w:tcPr>
            <w:tcW w:w="2941" w:type="pct"/>
            <w:shd w:val="clear" w:color="auto" w:fill="auto"/>
            <w:vAlign w:val="center"/>
          </w:tcPr>
          <w:p w14:paraId="0191E5FA"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Profit after tax in 2023</w:t>
            </w:r>
          </w:p>
        </w:tc>
        <w:tc>
          <w:tcPr>
            <w:tcW w:w="629" w:type="pct"/>
            <w:shd w:val="clear" w:color="auto" w:fill="auto"/>
            <w:vAlign w:val="center"/>
          </w:tcPr>
          <w:p w14:paraId="55306C01"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VND</w:t>
            </w:r>
          </w:p>
        </w:tc>
        <w:tc>
          <w:tcPr>
            <w:tcW w:w="1072" w:type="pct"/>
            <w:shd w:val="clear" w:color="auto" w:fill="auto"/>
            <w:vAlign w:val="center"/>
          </w:tcPr>
          <w:p w14:paraId="3DAC4771"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106,043,823,858</w:t>
            </w:r>
          </w:p>
        </w:tc>
      </w:tr>
      <w:tr w:rsidR="00402955" w:rsidRPr="00C421AE" w14:paraId="2B2306F1" w14:textId="77777777" w:rsidTr="00C421AE">
        <w:tc>
          <w:tcPr>
            <w:tcW w:w="358" w:type="pct"/>
            <w:shd w:val="clear" w:color="auto" w:fill="auto"/>
            <w:vAlign w:val="center"/>
          </w:tcPr>
          <w:p w14:paraId="78480D83"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2</w:t>
            </w:r>
          </w:p>
        </w:tc>
        <w:tc>
          <w:tcPr>
            <w:tcW w:w="2941" w:type="pct"/>
            <w:shd w:val="clear" w:color="auto" w:fill="auto"/>
            <w:vAlign w:val="center"/>
          </w:tcPr>
          <w:p w14:paraId="7F3B504C"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Appropriation for investment and development fund (5% of profit after tax)</w:t>
            </w:r>
          </w:p>
        </w:tc>
        <w:tc>
          <w:tcPr>
            <w:tcW w:w="629" w:type="pct"/>
            <w:shd w:val="clear" w:color="auto" w:fill="auto"/>
            <w:vAlign w:val="center"/>
          </w:tcPr>
          <w:p w14:paraId="2184819A"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VND</w:t>
            </w:r>
          </w:p>
        </w:tc>
        <w:tc>
          <w:tcPr>
            <w:tcW w:w="1072" w:type="pct"/>
            <w:shd w:val="clear" w:color="auto" w:fill="auto"/>
            <w:vAlign w:val="center"/>
          </w:tcPr>
          <w:p w14:paraId="736CAC83"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5,302,191,193</w:t>
            </w:r>
          </w:p>
        </w:tc>
      </w:tr>
      <w:tr w:rsidR="00402955" w:rsidRPr="00C421AE" w14:paraId="6DA22E6D" w14:textId="77777777" w:rsidTr="00C421AE">
        <w:tc>
          <w:tcPr>
            <w:tcW w:w="358" w:type="pct"/>
            <w:shd w:val="clear" w:color="auto" w:fill="auto"/>
            <w:vAlign w:val="center"/>
          </w:tcPr>
          <w:p w14:paraId="08ECFB59"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3</w:t>
            </w:r>
          </w:p>
        </w:tc>
        <w:tc>
          <w:tcPr>
            <w:tcW w:w="2941" w:type="pct"/>
            <w:shd w:val="clear" w:color="auto" w:fill="auto"/>
            <w:vAlign w:val="center"/>
          </w:tcPr>
          <w:p w14:paraId="0673385D"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Appropriation for bonus fund for staff (3% of profit after tax)</w:t>
            </w:r>
          </w:p>
        </w:tc>
        <w:tc>
          <w:tcPr>
            <w:tcW w:w="629" w:type="pct"/>
            <w:shd w:val="clear" w:color="auto" w:fill="auto"/>
            <w:vAlign w:val="center"/>
          </w:tcPr>
          <w:p w14:paraId="0D45EFA7"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VND</w:t>
            </w:r>
          </w:p>
        </w:tc>
        <w:tc>
          <w:tcPr>
            <w:tcW w:w="1072" w:type="pct"/>
            <w:shd w:val="clear" w:color="auto" w:fill="auto"/>
            <w:vAlign w:val="center"/>
          </w:tcPr>
          <w:p w14:paraId="4F077F0E"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3,181,314,716</w:t>
            </w:r>
          </w:p>
        </w:tc>
      </w:tr>
      <w:tr w:rsidR="00402955" w:rsidRPr="00C421AE" w14:paraId="79FB6C31" w14:textId="77777777" w:rsidTr="00C421AE">
        <w:tc>
          <w:tcPr>
            <w:tcW w:w="358" w:type="pct"/>
            <w:shd w:val="clear" w:color="auto" w:fill="auto"/>
            <w:vAlign w:val="center"/>
          </w:tcPr>
          <w:p w14:paraId="01DBEC7C"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4</w:t>
            </w:r>
          </w:p>
        </w:tc>
        <w:tc>
          <w:tcPr>
            <w:tcW w:w="2941" w:type="pct"/>
            <w:shd w:val="clear" w:color="auto" w:fill="auto"/>
            <w:vAlign w:val="center"/>
          </w:tcPr>
          <w:p w14:paraId="6D0BFF46"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Appropriation for collective welfare fund (3% of profit after tax)</w:t>
            </w:r>
          </w:p>
        </w:tc>
        <w:tc>
          <w:tcPr>
            <w:tcW w:w="629" w:type="pct"/>
            <w:shd w:val="clear" w:color="auto" w:fill="auto"/>
            <w:vAlign w:val="center"/>
          </w:tcPr>
          <w:p w14:paraId="004D2369"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VND</w:t>
            </w:r>
          </w:p>
        </w:tc>
        <w:tc>
          <w:tcPr>
            <w:tcW w:w="1072" w:type="pct"/>
            <w:shd w:val="clear" w:color="auto" w:fill="auto"/>
            <w:vAlign w:val="center"/>
          </w:tcPr>
          <w:p w14:paraId="2A542AD1"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3,181,314,716</w:t>
            </w:r>
          </w:p>
        </w:tc>
      </w:tr>
      <w:tr w:rsidR="00402955" w:rsidRPr="00C421AE" w14:paraId="5A7EDD79" w14:textId="77777777" w:rsidTr="00C421AE">
        <w:tc>
          <w:tcPr>
            <w:tcW w:w="358" w:type="pct"/>
            <w:shd w:val="clear" w:color="auto" w:fill="auto"/>
            <w:vAlign w:val="center"/>
          </w:tcPr>
          <w:p w14:paraId="3D727AFA"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5</w:t>
            </w:r>
          </w:p>
        </w:tc>
        <w:tc>
          <w:tcPr>
            <w:tcW w:w="2941" w:type="pct"/>
            <w:shd w:val="clear" w:color="auto" w:fill="auto"/>
            <w:vAlign w:val="center"/>
          </w:tcPr>
          <w:p w14:paraId="6BE4A74D" w14:textId="0A090A53"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Appropriation for bonus for the Board of Directors and the Board of Management (4% of profit after tax)</w:t>
            </w:r>
          </w:p>
        </w:tc>
        <w:tc>
          <w:tcPr>
            <w:tcW w:w="629" w:type="pct"/>
            <w:shd w:val="clear" w:color="auto" w:fill="auto"/>
            <w:vAlign w:val="center"/>
          </w:tcPr>
          <w:p w14:paraId="3DF3370C"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VND</w:t>
            </w:r>
          </w:p>
        </w:tc>
        <w:tc>
          <w:tcPr>
            <w:tcW w:w="1072" w:type="pct"/>
            <w:shd w:val="clear" w:color="auto" w:fill="auto"/>
            <w:vAlign w:val="center"/>
          </w:tcPr>
          <w:p w14:paraId="3693ADCA"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4,241,752,954</w:t>
            </w:r>
          </w:p>
        </w:tc>
      </w:tr>
      <w:tr w:rsidR="00402955" w:rsidRPr="00C421AE" w14:paraId="1C545054" w14:textId="77777777" w:rsidTr="00C421AE">
        <w:tc>
          <w:tcPr>
            <w:tcW w:w="358" w:type="pct"/>
            <w:shd w:val="clear" w:color="auto" w:fill="auto"/>
            <w:vAlign w:val="center"/>
          </w:tcPr>
          <w:p w14:paraId="5003428C"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lastRenderedPageBreak/>
              <w:t>6</w:t>
            </w:r>
          </w:p>
        </w:tc>
        <w:tc>
          <w:tcPr>
            <w:tcW w:w="2941" w:type="pct"/>
            <w:shd w:val="clear" w:color="auto" w:fill="auto"/>
            <w:vAlign w:val="center"/>
          </w:tcPr>
          <w:p w14:paraId="281CDBAA"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Undistributed profit will be transferred to 2024.</w:t>
            </w:r>
          </w:p>
        </w:tc>
        <w:tc>
          <w:tcPr>
            <w:tcW w:w="629" w:type="pct"/>
            <w:shd w:val="clear" w:color="auto" w:fill="auto"/>
            <w:vAlign w:val="center"/>
          </w:tcPr>
          <w:p w14:paraId="7623C453"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VND</w:t>
            </w:r>
          </w:p>
        </w:tc>
        <w:tc>
          <w:tcPr>
            <w:tcW w:w="1072" w:type="pct"/>
            <w:shd w:val="clear" w:color="auto" w:fill="auto"/>
            <w:vAlign w:val="center"/>
          </w:tcPr>
          <w:p w14:paraId="552F8D80" w14:textId="77777777" w:rsidR="00402955" w:rsidRPr="00C421AE" w:rsidRDefault="00402955" w:rsidP="00811CBD">
            <w:pPr>
              <w:pStyle w:val="Other0"/>
              <w:tabs>
                <w:tab w:val="left" w:pos="432"/>
              </w:tabs>
              <w:spacing w:after="120" w:line="360" w:lineRule="auto"/>
              <w:ind w:firstLine="0"/>
              <w:jc w:val="both"/>
              <w:rPr>
                <w:rFonts w:ascii="Arial" w:hAnsi="Arial" w:cs="Arial"/>
                <w:color w:val="010000"/>
                <w:sz w:val="20"/>
              </w:rPr>
            </w:pPr>
            <w:r>
              <w:rPr>
                <w:rFonts w:ascii="Arial" w:hAnsi="Arial"/>
                <w:color w:val="010000"/>
                <w:sz w:val="20"/>
              </w:rPr>
              <w:t>90,137,250,279</w:t>
            </w:r>
          </w:p>
        </w:tc>
      </w:tr>
    </w:tbl>
    <w:p w14:paraId="4666C49D" w14:textId="77777777" w:rsidR="00402955" w:rsidRPr="00C421AE" w:rsidRDefault="00402955" w:rsidP="00811CBD">
      <w:pPr>
        <w:pStyle w:val="Heading21"/>
        <w:keepNext/>
        <w:shd w:val="clear" w:color="auto" w:fill="auto"/>
        <w:tabs>
          <w:tab w:val="left" w:pos="432"/>
          <w:tab w:val="left" w:pos="840"/>
        </w:tabs>
        <w:spacing w:after="120" w:line="360" w:lineRule="auto"/>
        <w:ind w:firstLine="0"/>
        <w:jc w:val="both"/>
        <w:outlineLvl w:val="9"/>
        <w:rPr>
          <w:rFonts w:ascii="Arial" w:hAnsi="Arial" w:cs="Arial"/>
          <w:b w:val="0"/>
          <w:i w:val="0"/>
          <w:color w:val="010000"/>
          <w:sz w:val="20"/>
        </w:rPr>
      </w:pPr>
      <w:r>
        <w:rPr>
          <w:rFonts w:ascii="Arial" w:hAnsi="Arial"/>
          <w:b w:val="0"/>
          <w:i w:val="0"/>
          <w:color w:val="010000"/>
          <w:sz w:val="20"/>
        </w:rPr>
        <w:t>The Plan on dividend payment in 2023:</w:t>
      </w:r>
    </w:p>
    <w:p w14:paraId="6F91964C" w14:textId="7D788798" w:rsidR="00402955" w:rsidRPr="00C421AE" w:rsidRDefault="00402955" w:rsidP="00811CBD">
      <w:pPr>
        <w:pStyle w:val="BodyText"/>
        <w:numPr>
          <w:ilvl w:val="0"/>
          <w:numId w:val="2"/>
        </w:numPr>
        <w:tabs>
          <w:tab w:val="left" w:pos="432"/>
        </w:tabs>
        <w:spacing w:after="120" w:line="360" w:lineRule="auto"/>
        <w:ind w:left="0" w:firstLine="0"/>
        <w:jc w:val="both"/>
        <w:rPr>
          <w:rFonts w:ascii="Arial" w:hAnsi="Arial" w:cs="Arial"/>
          <w:color w:val="010000"/>
          <w:sz w:val="20"/>
        </w:rPr>
      </w:pPr>
      <w:r>
        <w:rPr>
          <w:rFonts w:ascii="Arial" w:hAnsi="Arial"/>
          <w:color w:val="010000"/>
          <w:sz w:val="20"/>
        </w:rPr>
        <w:t>Payment form: Dividend payment by shares to existing shareholders.</w:t>
      </w:r>
    </w:p>
    <w:p w14:paraId="3F3FC497" w14:textId="501ED60B" w:rsidR="00402955" w:rsidRPr="00C421AE" w:rsidRDefault="00402955" w:rsidP="00811CBD">
      <w:pPr>
        <w:pStyle w:val="BodyText"/>
        <w:numPr>
          <w:ilvl w:val="0"/>
          <w:numId w:val="2"/>
        </w:numPr>
        <w:tabs>
          <w:tab w:val="left" w:pos="432"/>
        </w:tabs>
        <w:spacing w:after="120" w:line="360" w:lineRule="auto"/>
        <w:ind w:left="0" w:firstLine="0"/>
        <w:jc w:val="both"/>
        <w:rPr>
          <w:rFonts w:ascii="Arial" w:hAnsi="Arial" w:cs="Arial"/>
          <w:color w:val="010000"/>
          <w:sz w:val="20"/>
        </w:rPr>
      </w:pPr>
      <w:r>
        <w:rPr>
          <w:rFonts w:ascii="Arial" w:hAnsi="Arial"/>
          <w:color w:val="010000"/>
          <w:sz w:val="20"/>
        </w:rPr>
        <w:t>Implementation rate: 100:5 (Shareholders owning 100 shares will receive 05 new shares).</w:t>
      </w:r>
    </w:p>
    <w:p w14:paraId="319E889E" w14:textId="2E19AF4D" w:rsidR="00402955" w:rsidRPr="00C421AE" w:rsidRDefault="00402955" w:rsidP="00811CBD">
      <w:pPr>
        <w:pStyle w:val="BodyText"/>
        <w:numPr>
          <w:ilvl w:val="0"/>
          <w:numId w:val="2"/>
        </w:numPr>
        <w:tabs>
          <w:tab w:val="left" w:pos="432"/>
        </w:tabs>
        <w:spacing w:after="120" w:line="360" w:lineRule="auto"/>
        <w:ind w:left="0" w:firstLine="0"/>
        <w:jc w:val="both"/>
        <w:rPr>
          <w:rFonts w:ascii="Arial" w:hAnsi="Arial" w:cs="Arial"/>
          <w:color w:val="010000"/>
          <w:sz w:val="20"/>
        </w:rPr>
      </w:pPr>
      <w:r>
        <w:rPr>
          <w:rFonts w:ascii="Arial" w:hAnsi="Arial"/>
          <w:color w:val="010000"/>
          <w:sz w:val="20"/>
        </w:rPr>
        <w:t>Implementation time: After being approved by the Annual General Meeting of Shareholders 2024 and notified in writing by the State Securities Commission on receiving full issuance report dossiers. Expected in 2024.</w:t>
      </w:r>
    </w:p>
    <w:p w14:paraId="7908E025" w14:textId="77777777" w:rsidR="00C421AE" w:rsidRPr="00C421AE" w:rsidRDefault="00C421AE" w:rsidP="00811CBD">
      <w:pPr>
        <w:pStyle w:val="Heading21"/>
        <w:keepNext/>
        <w:numPr>
          <w:ilvl w:val="0"/>
          <w:numId w:val="6"/>
        </w:numPr>
        <w:shd w:val="clear" w:color="auto" w:fill="auto"/>
        <w:tabs>
          <w:tab w:val="left" w:pos="554"/>
        </w:tabs>
        <w:spacing w:after="120" w:line="360" w:lineRule="auto"/>
        <w:ind w:firstLine="0"/>
        <w:jc w:val="both"/>
        <w:outlineLvl w:val="9"/>
        <w:rPr>
          <w:rFonts w:ascii="Arial" w:hAnsi="Arial" w:cs="Arial"/>
          <w:b w:val="0"/>
          <w:i w:val="0"/>
          <w:color w:val="010000"/>
          <w:sz w:val="20"/>
        </w:rPr>
      </w:pPr>
      <w:r>
        <w:rPr>
          <w:rFonts w:ascii="Arial" w:hAnsi="Arial"/>
          <w:b w:val="0"/>
          <w:i w:val="0"/>
          <w:color w:val="010000"/>
          <w:sz w:val="20"/>
        </w:rPr>
        <w:t>ISSUANCE PLAN</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38"/>
        <w:gridCol w:w="7"/>
      </w:tblGrid>
      <w:tr w:rsidR="00C421AE" w:rsidRPr="00C421AE" w14:paraId="06B65752" w14:textId="77777777" w:rsidTr="00C421AE">
        <w:trPr>
          <w:gridAfter w:val="1"/>
          <w:wAfter w:w="4" w:type="pct"/>
        </w:trPr>
        <w:tc>
          <w:tcPr>
            <w:tcW w:w="1648" w:type="pct"/>
            <w:shd w:val="clear" w:color="auto" w:fill="auto"/>
            <w:vAlign w:val="center"/>
          </w:tcPr>
          <w:p w14:paraId="648BD503"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Share name:</w:t>
            </w:r>
          </w:p>
        </w:tc>
        <w:tc>
          <w:tcPr>
            <w:tcW w:w="3348" w:type="pct"/>
            <w:shd w:val="clear" w:color="auto" w:fill="auto"/>
            <w:vAlign w:val="center"/>
          </w:tcPr>
          <w:p w14:paraId="6377D1BE" w14:textId="57EBA27C" w:rsidR="00C421AE" w:rsidRPr="00C421AE" w:rsidRDefault="00F22A29" w:rsidP="00811CBD">
            <w:pPr>
              <w:pStyle w:val="Other0"/>
              <w:spacing w:after="120" w:line="360" w:lineRule="auto"/>
              <w:ind w:firstLine="0"/>
              <w:jc w:val="both"/>
              <w:rPr>
                <w:rFonts w:ascii="Arial" w:hAnsi="Arial" w:cs="Arial"/>
                <w:color w:val="010000"/>
                <w:sz w:val="20"/>
              </w:rPr>
            </w:pPr>
            <w:r>
              <w:rPr>
                <w:rFonts w:ascii="Arial" w:hAnsi="Arial"/>
                <w:color w:val="010000"/>
                <w:sz w:val="20"/>
              </w:rPr>
              <w:t>C.E.O Group Joint Stock Company share</w:t>
            </w:r>
          </w:p>
        </w:tc>
      </w:tr>
      <w:tr w:rsidR="00C421AE" w:rsidRPr="00C421AE" w14:paraId="61163261" w14:textId="77777777" w:rsidTr="00C421AE">
        <w:trPr>
          <w:gridAfter w:val="1"/>
          <w:wAfter w:w="4" w:type="pct"/>
        </w:trPr>
        <w:tc>
          <w:tcPr>
            <w:tcW w:w="1648" w:type="pct"/>
            <w:shd w:val="clear" w:color="auto" w:fill="auto"/>
            <w:vAlign w:val="center"/>
          </w:tcPr>
          <w:p w14:paraId="1C408A7B"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Securities code:</w:t>
            </w:r>
          </w:p>
        </w:tc>
        <w:tc>
          <w:tcPr>
            <w:tcW w:w="3348" w:type="pct"/>
            <w:shd w:val="clear" w:color="auto" w:fill="auto"/>
            <w:vAlign w:val="center"/>
          </w:tcPr>
          <w:p w14:paraId="730D522B" w14:textId="77777777" w:rsidR="00C421AE" w:rsidRPr="00C421AE" w:rsidRDefault="00C421AE" w:rsidP="00811CBD">
            <w:pPr>
              <w:pStyle w:val="Other0"/>
              <w:spacing w:after="120" w:line="360" w:lineRule="auto"/>
              <w:ind w:firstLine="0"/>
              <w:jc w:val="both"/>
              <w:rPr>
                <w:rFonts w:ascii="Arial" w:hAnsi="Arial" w:cs="Arial"/>
                <w:color w:val="010000"/>
                <w:sz w:val="20"/>
                <w:szCs w:val="22"/>
              </w:rPr>
            </w:pPr>
            <w:r>
              <w:rPr>
                <w:rFonts w:ascii="Arial" w:hAnsi="Arial"/>
                <w:color w:val="010000"/>
                <w:sz w:val="20"/>
              </w:rPr>
              <w:t>CEO</w:t>
            </w:r>
          </w:p>
        </w:tc>
      </w:tr>
      <w:tr w:rsidR="00C421AE" w:rsidRPr="00C421AE" w14:paraId="1BF92F11" w14:textId="77777777" w:rsidTr="00C421AE">
        <w:trPr>
          <w:gridAfter w:val="1"/>
          <w:wAfter w:w="4" w:type="pct"/>
        </w:trPr>
        <w:tc>
          <w:tcPr>
            <w:tcW w:w="1648" w:type="pct"/>
            <w:shd w:val="clear" w:color="auto" w:fill="auto"/>
            <w:vAlign w:val="center"/>
          </w:tcPr>
          <w:p w14:paraId="2B97AFB2"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Share type:</w:t>
            </w:r>
          </w:p>
        </w:tc>
        <w:tc>
          <w:tcPr>
            <w:tcW w:w="3348" w:type="pct"/>
            <w:shd w:val="clear" w:color="auto" w:fill="auto"/>
            <w:vAlign w:val="center"/>
          </w:tcPr>
          <w:p w14:paraId="753C0E30"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Common share</w:t>
            </w:r>
          </w:p>
        </w:tc>
      </w:tr>
      <w:tr w:rsidR="00C421AE" w:rsidRPr="00C421AE" w14:paraId="12AF6931" w14:textId="77777777" w:rsidTr="00C421AE">
        <w:trPr>
          <w:gridAfter w:val="1"/>
          <w:wAfter w:w="4" w:type="pct"/>
        </w:trPr>
        <w:tc>
          <w:tcPr>
            <w:tcW w:w="1648" w:type="pct"/>
            <w:shd w:val="clear" w:color="auto" w:fill="auto"/>
            <w:vAlign w:val="center"/>
          </w:tcPr>
          <w:p w14:paraId="418F5ABE"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Par value of share:</w:t>
            </w:r>
          </w:p>
        </w:tc>
        <w:tc>
          <w:tcPr>
            <w:tcW w:w="3348" w:type="pct"/>
            <w:shd w:val="clear" w:color="auto" w:fill="auto"/>
            <w:vAlign w:val="center"/>
          </w:tcPr>
          <w:p w14:paraId="33991460"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VND 10,000/share</w:t>
            </w:r>
          </w:p>
        </w:tc>
      </w:tr>
      <w:tr w:rsidR="00C421AE" w:rsidRPr="00C421AE" w14:paraId="6F645794" w14:textId="77777777" w:rsidTr="00C421AE">
        <w:trPr>
          <w:gridAfter w:val="1"/>
          <w:wAfter w:w="4" w:type="pct"/>
        </w:trPr>
        <w:tc>
          <w:tcPr>
            <w:tcW w:w="1648" w:type="pct"/>
            <w:shd w:val="clear" w:color="auto" w:fill="auto"/>
            <w:vAlign w:val="center"/>
          </w:tcPr>
          <w:p w14:paraId="6E6326C2"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Charter capital:</w:t>
            </w:r>
          </w:p>
        </w:tc>
        <w:tc>
          <w:tcPr>
            <w:tcW w:w="3348" w:type="pct"/>
            <w:shd w:val="clear" w:color="auto" w:fill="auto"/>
            <w:vAlign w:val="center"/>
          </w:tcPr>
          <w:p w14:paraId="6CD2D5E3"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VND 5,146,787,600,000</w:t>
            </w:r>
          </w:p>
        </w:tc>
      </w:tr>
      <w:tr w:rsidR="00C421AE" w:rsidRPr="00C421AE" w14:paraId="44C033A8" w14:textId="77777777" w:rsidTr="00C421AE">
        <w:trPr>
          <w:gridAfter w:val="1"/>
          <w:wAfter w:w="4" w:type="pct"/>
        </w:trPr>
        <w:tc>
          <w:tcPr>
            <w:tcW w:w="1648" w:type="pct"/>
            <w:shd w:val="clear" w:color="auto" w:fill="auto"/>
            <w:vAlign w:val="center"/>
          </w:tcPr>
          <w:p w14:paraId="7780BB2E"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Number of shares before issuance:</w:t>
            </w:r>
          </w:p>
        </w:tc>
        <w:tc>
          <w:tcPr>
            <w:tcW w:w="3348" w:type="pct"/>
            <w:shd w:val="clear" w:color="auto" w:fill="auto"/>
            <w:vAlign w:val="center"/>
          </w:tcPr>
          <w:p w14:paraId="2099BBA4"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514,678,760 shares</w:t>
            </w:r>
          </w:p>
        </w:tc>
      </w:tr>
      <w:tr w:rsidR="00C421AE" w:rsidRPr="00C421AE" w14:paraId="24293363" w14:textId="77777777" w:rsidTr="00C421AE">
        <w:trPr>
          <w:gridAfter w:val="1"/>
          <w:wAfter w:w="4" w:type="pct"/>
        </w:trPr>
        <w:tc>
          <w:tcPr>
            <w:tcW w:w="1648" w:type="pct"/>
            <w:shd w:val="clear" w:color="auto" w:fill="auto"/>
            <w:vAlign w:val="center"/>
          </w:tcPr>
          <w:p w14:paraId="1C8A8CE6" w14:textId="78323DE6"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The number of outstanding shares before issuance:</w:t>
            </w:r>
          </w:p>
        </w:tc>
        <w:tc>
          <w:tcPr>
            <w:tcW w:w="3348" w:type="pct"/>
            <w:shd w:val="clear" w:color="auto" w:fill="auto"/>
            <w:vAlign w:val="center"/>
          </w:tcPr>
          <w:p w14:paraId="0A4C175E"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514,678,760 shares</w:t>
            </w:r>
          </w:p>
        </w:tc>
      </w:tr>
      <w:tr w:rsidR="00C421AE" w:rsidRPr="00C421AE" w14:paraId="6931AAAB" w14:textId="77777777" w:rsidTr="00C421AE">
        <w:trPr>
          <w:gridAfter w:val="1"/>
          <w:wAfter w:w="4" w:type="pct"/>
        </w:trPr>
        <w:tc>
          <w:tcPr>
            <w:tcW w:w="1648" w:type="pct"/>
            <w:shd w:val="clear" w:color="auto" w:fill="auto"/>
            <w:vAlign w:val="center"/>
          </w:tcPr>
          <w:p w14:paraId="5BA52651"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The number of treasury shares as of December 31, 2023.</w:t>
            </w:r>
          </w:p>
        </w:tc>
        <w:tc>
          <w:tcPr>
            <w:tcW w:w="3348" w:type="pct"/>
            <w:shd w:val="clear" w:color="auto" w:fill="auto"/>
            <w:vAlign w:val="center"/>
          </w:tcPr>
          <w:p w14:paraId="69BBEAF5"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0 shares</w:t>
            </w:r>
          </w:p>
        </w:tc>
      </w:tr>
      <w:tr w:rsidR="00C421AE" w:rsidRPr="00C421AE" w14:paraId="5FB17A4C" w14:textId="77777777" w:rsidTr="00C421AE">
        <w:trPr>
          <w:gridAfter w:val="1"/>
          <w:wAfter w:w="4" w:type="pct"/>
        </w:trPr>
        <w:tc>
          <w:tcPr>
            <w:tcW w:w="1648" w:type="pct"/>
            <w:shd w:val="clear" w:color="auto" w:fill="auto"/>
            <w:vAlign w:val="center"/>
          </w:tcPr>
          <w:p w14:paraId="316D5104"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Type of securities issued:</w:t>
            </w:r>
          </w:p>
        </w:tc>
        <w:tc>
          <w:tcPr>
            <w:tcW w:w="3348" w:type="pct"/>
            <w:shd w:val="clear" w:color="auto" w:fill="auto"/>
            <w:vAlign w:val="center"/>
          </w:tcPr>
          <w:p w14:paraId="49C9D9B3"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Common share</w:t>
            </w:r>
          </w:p>
        </w:tc>
      </w:tr>
      <w:tr w:rsidR="00C421AE" w:rsidRPr="00C421AE" w14:paraId="06F89076" w14:textId="77777777" w:rsidTr="00C421AE">
        <w:trPr>
          <w:gridAfter w:val="1"/>
          <w:wAfter w:w="4" w:type="pct"/>
        </w:trPr>
        <w:tc>
          <w:tcPr>
            <w:tcW w:w="1648" w:type="pct"/>
            <w:shd w:val="clear" w:color="auto" w:fill="auto"/>
            <w:vAlign w:val="center"/>
          </w:tcPr>
          <w:p w14:paraId="36ADA062"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Number of issued shares:</w:t>
            </w:r>
          </w:p>
        </w:tc>
        <w:tc>
          <w:tcPr>
            <w:tcW w:w="3348" w:type="pct"/>
            <w:shd w:val="clear" w:color="auto" w:fill="auto"/>
            <w:vAlign w:val="center"/>
          </w:tcPr>
          <w:p w14:paraId="3DEEA339"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25,733,938 shares, equivalent to 5% of the total number of outstanding shares</w:t>
            </w:r>
          </w:p>
        </w:tc>
      </w:tr>
      <w:tr w:rsidR="00C421AE" w:rsidRPr="00C421AE" w14:paraId="5A641D62" w14:textId="77777777" w:rsidTr="00C421AE">
        <w:trPr>
          <w:gridAfter w:val="1"/>
          <w:wAfter w:w="4" w:type="pct"/>
        </w:trPr>
        <w:tc>
          <w:tcPr>
            <w:tcW w:w="1648" w:type="pct"/>
            <w:shd w:val="clear" w:color="auto" w:fill="auto"/>
            <w:vAlign w:val="center"/>
          </w:tcPr>
          <w:p w14:paraId="629BD1FA" w14:textId="34782ACA"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Par value of share:</w:t>
            </w:r>
          </w:p>
        </w:tc>
        <w:tc>
          <w:tcPr>
            <w:tcW w:w="3348" w:type="pct"/>
            <w:shd w:val="clear" w:color="auto" w:fill="auto"/>
            <w:vAlign w:val="center"/>
          </w:tcPr>
          <w:p w14:paraId="0ED34754"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VND 10,000/share</w:t>
            </w:r>
          </w:p>
        </w:tc>
      </w:tr>
      <w:tr w:rsidR="00C421AE" w:rsidRPr="00C421AE" w14:paraId="71452B45" w14:textId="77777777" w:rsidTr="00C421AE">
        <w:trPr>
          <w:gridAfter w:val="1"/>
          <w:wAfter w:w="4" w:type="pct"/>
        </w:trPr>
        <w:tc>
          <w:tcPr>
            <w:tcW w:w="1648" w:type="pct"/>
            <w:shd w:val="clear" w:color="auto" w:fill="auto"/>
            <w:vAlign w:val="center"/>
          </w:tcPr>
          <w:p w14:paraId="4DC81776"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Total issuance value (calculated by par value):</w:t>
            </w:r>
          </w:p>
        </w:tc>
        <w:tc>
          <w:tcPr>
            <w:tcW w:w="3348" w:type="pct"/>
            <w:shd w:val="clear" w:color="auto" w:fill="auto"/>
            <w:vAlign w:val="center"/>
          </w:tcPr>
          <w:p w14:paraId="1038E210"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VND 257,339,380,000</w:t>
            </w:r>
          </w:p>
        </w:tc>
      </w:tr>
      <w:tr w:rsidR="00C421AE" w:rsidRPr="00C421AE" w14:paraId="79B46638" w14:textId="77777777" w:rsidTr="00C421AE">
        <w:trPr>
          <w:gridAfter w:val="1"/>
          <w:wAfter w:w="4" w:type="pct"/>
        </w:trPr>
        <w:tc>
          <w:tcPr>
            <w:tcW w:w="1648" w:type="pct"/>
            <w:shd w:val="clear" w:color="auto" w:fill="auto"/>
            <w:vAlign w:val="center"/>
          </w:tcPr>
          <w:p w14:paraId="0599DD65"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Capital source for implementation:</w:t>
            </w:r>
          </w:p>
        </w:tc>
        <w:tc>
          <w:tcPr>
            <w:tcW w:w="3348" w:type="pct"/>
            <w:shd w:val="clear" w:color="auto" w:fill="auto"/>
            <w:vAlign w:val="center"/>
          </w:tcPr>
          <w:p w14:paraId="7ACF31BF"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 xml:space="preserve">Accumulated undistributed profit after tax as of December 31, 2023 according to the audited Financial Statements 2023 of C.E.O Group Joint Stock Company </w:t>
            </w:r>
          </w:p>
        </w:tc>
      </w:tr>
      <w:tr w:rsidR="00C421AE" w:rsidRPr="00C421AE" w14:paraId="043764F8" w14:textId="77777777" w:rsidTr="00C421AE">
        <w:trPr>
          <w:gridAfter w:val="1"/>
          <w:wAfter w:w="4" w:type="pct"/>
        </w:trPr>
        <w:tc>
          <w:tcPr>
            <w:tcW w:w="1648" w:type="pct"/>
            <w:shd w:val="clear" w:color="auto" w:fill="auto"/>
            <w:vAlign w:val="center"/>
          </w:tcPr>
          <w:p w14:paraId="18C259AC"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Issue time:</w:t>
            </w:r>
          </w:p>
        </w:tc>
        <w:tc>
          <w:tcPr>
            <w:tcW w:w="3348" w:type="pct"/>
            <w:shd w:val="clear" w:color="auto" w:fill="auto"/>
            <w:vAlign w:val="center"/>
          </w:tcPr>
          <w:p w14:paraId="72F6E18A" w14:textId="490BE61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After being approved by the Annual General Meeting of Shareholders 2024 and notified in writing by the State Securities Commission on receiving full issuance report dossiers. Expected in 2024.</w:t>
            </w:r>
          </w:p>
        </w:tc>
      </w:tr>
      <w:tr w:rsidR="00C421AE" w:rsidRPr="00C421AE" w14:paraId="5FE8C613" w14:textId="77777777" w:rsidTr="00C421AE">
        <w:tc>
          <w:tcPr>
            <w:tcW w:w="1648" w:type="pct"/>
            <w:shd w:val="clear" w:color="auto" w:fill="auto"/>
            <w:vAlign w:val="center"/>
          </w:tcPr>
          <w:p w14:paraId="03A1BF23"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Eligible buyers:</w:t>
            </w:r>
          </w:p>
        </w:tc>
        <w:tc>
          <w:tcPr>
            <w:tcW w:w="3352" w:type="pct"/>
            <w:gridSpan w:val="2"/>
            <w:shd w:val="clear" w:color="auto" w:fill="auto"/>
            <w:vAlign w:val="center"/>
          </w:tcPr>
          <w:p w14:paraId="6F2E57BC" w14:textId="2ACC20E4"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 xml:space="preserve">Existing shareholders according to the recorded list of shareholders </w:t>
            </w:r>
            <w:r>
              <w:rPr>
                <w:rFonts w:ascii="Arial" w:hAnsi="Arial"/>
                <w:color w:val="010000"/>
                <w:sz w:val="20"/>
              </w:rPr>
              <w:lastRenderedPageBreak/>
              <w:t>on the record date for the list of shareholders to exercise rights to receive dividends in shares.</w:t>
            </w:r>
          </w:p>
        </w:tc>
      </w:tr>
      <w:tr w:rsidR="00C421AE" w:rsidRPr="00C421AE" w14:paraId="416B2D40" w14:textId="77777777" w:rsidTr="00C421AE">
        <w:tc>
          <w:tcPr>
            <w:tcW w:w="1648" w:type="pct"/>
            <w:shd w:val="clear" w:color="auto" w:fill="auto"/>
            <w:vAlign w:val="center"/>
          </w:tcPr>
          <w:p w14:paraId="0003ADA2"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lastRenderedPageBreak/>
              <w:t>Issuance rate:</w:t>
            </w:r>
          </w:p>
        </w:tc>
        <w:tc>
          <w:tcPr>
            <w:tcW w:w="3352" w:type="pct"/>
            <w:gridSpan w:val="2"/>
            <w:shd w:val="clear" w:color="auto" w:fill="auto"/>
            <w:vAlign w:val="center"/>
          </w:tcPr>
          <w:p w14:paraId="2828D474" w14:textId="6F256992"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5%, corresponding to the right exercise rate of 100:5 (on the record date for the list of shareholders to exercise the rights to receive dividends in shares, shareholders owning 100 shares will receive 05 additional shares).</w:t>
            </w:r>
          </w:p>
        </w:tc>
      </w:tr>
      <w:tr w:rsidR="00C421AE" w:rsidRPr="00C421AE" w14:paraId="131237BA" w14:textId="77777777" w:rsidTr="00C421AE">
        <w:tc>
          <w:tcPr>
            <w:tcW w:w="1648" w:type="pct"/>
            <w:shd w:val="clear" w:color="auto" w:fill="auto"/>
            <w:vAlign w:val="center"/>
          </w:tcPr>
          <w:p w14:paraId="47B3C003"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Rounding principles and plans for handling fractional shares (if any):</w:t>
            </w:r>
          </w:p>
        </w:tc>
        <w:tc>
          <w:tcPr>
            <w:tcW w:w="3352" w:type="pct"/>
            <w:gridSpan w:val="2"/>
            <w:shd w:val="clear" w:color="auto" w:fill="auto"/>
            <w:vAlign w:val="center"/>
          </w:tcPr>
          <w:p w14:paraId="55DA0775"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For incurred fractional shares (if any) when shareholders exercise the rights, the number of shares that the shareholders receive will be rounded to the nearest unit. Fractional shares (if any) will be canceled</w:t>
            </w:r>
          </w:p>
          <w:p w14:paraId="285D0193" w14:textId="5171DD13"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For example: On the record date for the list of shareholders to exercise rights to receive dividends in shares, shareholder A owns 335 shares, so the number of new shares that shareholder A will receive is (335*5%) = 16.75 shares.</w:t>
            </w:r>
            <w:r>
              <w:rPr>
                <w:rFonts w:ascii="Arial" w:hAnsi="Arial"/>
                <w:color w:val="010000"/>
                <w:sz w:val="20"/>
              </w:rPr>
              <w:cr/>
            </w:r>
            <w:r>
              <w:rPr>
                <w:rFonts w:ascii="Arial" w:hAnsi="Arial"/>
                <w:color w:val="010000"/>
                <w:sz w:val="20"/>
              </w:rPr>
              <w:br/>
              <w:t xml:space="preserve"> According to the rounding principle, shareholder A will receive 16 new shares. 0.75 fractional shares will be canceled.</w:t>
            </w:r>
          </w:p>
        </w:tc>
      </w:tr>
      <w:tr w:rsidR="00C421AE" w:rsidRPr="00C421AE" w14:paraId="0C53A12D" w14:textId="77777777" w:rsidTr="00C421AE">
        <w:tc>
          <w:tcPr>
            <w:tcW w:w="1648" w:type="pct"/>
            <w:shd w:val="clear" w:color="auto" w:fill="auto"/>
            <w:vAlign w:val="center"/>
          </w:tcPr>
          <w:p w14:paraId="3CF08D72"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Transfer restrictions:</w:t>
            </w:r>
          </w:p>
        </w:tc>
        <w:tc>
          <w:tcPr>
            <w:tcW w:w="3352" w:type="pct"/>
            <w:gridSpan w:val="2"/>
            <w:shd w:val="clear" w:color="auto" w:fill="auto"/>
            <w:vAlign w:val="center"/>
          </w:tcPr>
          <w:p w14:paraId="736F3510"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Issued shares are not restricted from transferring. The rights to receive dividends in shares is not transferable.</w:t>
            </w:r>
          </w:p>
        </w:tc>
      </w:tr>
      <w:tr w:rsidR="00C421AE" w:rsidRPr="00C421AE" w14:paraId="199CF663" w14:textId="77777777" w:rsidTr="00C421AE">
        <w:tc>
          <w:tcPr>
            <w:tcW w:w="1648" w:type="pct"/>
            <w:shd w:val="clear" w:color="auto" w:fill="auto"/>
            <w:vAlign w:val="center"/>
          </w:tcPr>
          <w:p w14:paraId="7F5AE049"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Distribution method:</w:t>
            </w:r>
          </w:p>
        </w:tc>
        <w:tc>
          <w:tcPr>
            <w:tcW w:w="3352" w:type="pct"/>
            <w:gridSpan w:val="2"/>
            <w:shd w:val="clear" w:color="auto" w:fill="auto"/>
            <w:vAlign w:val="center"/>
          </w:tcPr>
          <w:p w14:paraId="5C5B3F69" w14:textId="77777777" w:rsidR="00C421AE" w:rsidRPr="00C421AE" w:rsidRDefault="00C421AE" w:rsidP="00811CBD">
            <w:pPr>
              <w:pStyle w:val="Other0"/>
              <w:numPr>
                <w:ilvl w:val="0"/>
                <w:numId w:val="7"/>
              </w:numPr>
              <w:tabs>
                <w:tab w:val="left" w:pos="353"/>
              </w:tabs>
              <w:spacing w:after="120" w:line="360" w:lineRule="auto"/>
              <w:ind w:firstLine="0"/>
              <w:jc w:val="both"/>
              <w:rPr>
                <w:rFonts w:ascii="Arial" w:hAnsi="Arial" w:cs="Arial"/>
                <w:color w:val="010000"/>
                <w:sz w:val="20"/>
              </w:rPr>
            </w:pPr>
            <w:r>
              <w:rPr>
                <w:rFonts w:ascii="Arial" w:hAnsi="Arial"/>
                <w:color w:val="010000"/>
                <w:sz w:val="20"/>
              </w:rPr>
              <w:t>For deposited securities: Shareholders implement procedures to receive shares to pay dividends at Depository Members where the Securities Account is opened.</w:t>
            </w:r>
          </w:p>
          <w:p w14:paraId="339C98C1" w14:textId="77777777" w:rsidR="00C421AE" w:rsidRPr="00C421AE" w:rsidRDefault="00C421AE" w:rsidP="00811CBD">
            <w:pPr>
              <w:pStyle w:val="Other0"/>
              <w:numPr>
                <w:ilvl w:val="0"/>
                <w:numId w:val="7"/>
              </w:numPr>
              <w:tabs>
                <w:tab w:val="left" w:pos="353"/>
              </w:tabs>
              <w:spacing w:after="120" w:line="360" w:lineRule="auto"/>
              <w:ind w:firstLine="0"/>
              <w:jc w:val="both"/>
              <w:rPr>
                <w:rFonts w:ascii="Arial" w:hAnsi="Arial" w:cs="Arial"/>
                <w:color w:val="010000"/>
                <w:sz w:val="20"/>
              </w:rPr>
            </w:pPr>
            <w:r>
              <w:rPr>
                <w:rFonts w:ascii="Arial" w:hAnsi="Arial"/>
                <w:color w:val="010000"/>
                <w:sz w:val="20"/>
              </w:rPr>
              <w:t xml:space="preserve">For </w:t>
            </w:r>
            <w:proofErr w:type="spellStart"/>
            <w:r>
              <w:rPr>
                <w:rFonts w:ascii="Arial" w:hAnsi="Arial"/>
                <w:color w:val="010000"/>
                <w:sz w:val="20"/>
              </w:rPr>
              <w:t>undeposited</w:t>
            </w:r>
            <w:proofErr w:type="spellEnd"/>
            <w:r>
              <w:rPr>
                <w:rFonts w:ascii="Arial" w:hAnsi="Arial"/>
                <w:color w:val="010000"/>
                <w:sz w:val="20"/>
              </w:rPr>
              <w:t xml:space="preserve"> securities: Shareholders implement procedures to receive dividends in shares at the Head Office of C.E.O Group Joint Stock Company, 5th floor, CEO Tower, HH2-1, Me Tri Ha New Urban, Pham Hung Street, Me Tri Ward,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 City, Vietnam on working days of the week. When coming to implement the procedures, present the original Certificate of Share Ownership and the original ID Card/Citizen Identification Card/Passport (still valid).</w:t>
            </w:r>
          </w:p>
        </w:tc>
      </w:tr>
      <w:tr w:rsidR="00C421AE" w:rsidRPr="00C421AE" w14:paraId="6FA52CE2" w14:textId="77777777" w:rsidTr="00C421AE">
        <w:tc>
          <w:tcPr>
            <w:tcW w:w="1648" w:type="pct"/>
            <w:shd w:val="clear" w:color="auto" w:fill="auto"/>
            <w:vAlign w:val="center"/>
          </w:tcPr>
          <w:p w14:paraId="35A4F860" w14:textId="14E99A88"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Additional depository and listing:</w:t>
            </w:r>
          </w:p>
        </w:tc>
        <w:tc>
          <w:tcPr>
            <w:tcW w:w="3352" w:type="pct"/>
            <w:gridSpan w:val="2"/>
            <w:shd w:val="clear" w:color="auto" w:fill="auto"/>
            <w:vAlign w:val="center"/>
          </w:tcPr>
          <w:p w14:paraId="14D94E7F" w14:textId="77777777" w:rsidR="00C421AE" w:rsidRPr="00C421AE" w:rsidRDefault="00C421AE" w:rsidP="00811CBD">
            <w:pPr>
              <w:pStyle w:val="Other0"/>
              <w:spacing w:after="120" w:line="360" w:lineRule="auto"/>
              <w:ind w:firstLine="0"/>
              <w:jc w:val="both"/>
              <w:rPr>
                <w:rFonts w:ascii="Arial" w:hAnsi="Arial" w:cs="Arial"/>
                <w:color w:val="010000"/>
                <w:sz w:val="20"/>
              </w:rPr>
            </w:pPr>
            <w:r>
              <w:rPr>
                <w:rFonts w:ascii="Arial" w:hAnsi="Arial"/>
                <w:color w:val="010000"/>
                <w:sz w:val="20"/>
              </w:rPr>
              <w:t>Shares issued to pay dividends will be additionally registered for deposit at the Vietnam Securities Depository and Clearing Corporation and additionally listed at the Stock Exchange in accordance with the provisions of law.</w:t>
            </w:r>
          </w:p>
        </w:tc>
      </w:tr>
    </w:tbl>
    <w:p w14:paraId="5FEBE675" w14:textId="3C6B3D33" w:rsidR="00C421AE" w:rsidRPr="00C421AE" w:rsidRDefault="00C421AE" w:rsidP="00811CBD">
      <w:pPr>
        <w:pStyle w:val="Heading21"/>
        <w:keepNext/>
        <w:numPr>
          <w:ilvl w:val="0"/>
          <w:numId w:val="6"/>
        </w:numPr>
        <w:spacing w:after="120" w:line="360" w:lineRule="auto"/>
        <w:ind w:firstLine="0"/>
        <w:jc w:val="both"/>
        <w:outlineLvl w:val="9"/>
        <w:rPr>
          <w:rFonts w:ascii="Arial" w:hAnsi="Arial" w:cs="Arial"/>
          <w:b w:val="0"/>
          <w:i w:val="0"/>
          <w:color w:val="010000"/>
          <w:sz w:val="20"/>
        </w:rPr>
      </w:pPr>
      <w:r>
        <w:rPr>
          <w:rFonts w:ascii="Arial" w:hAnsi="Arial"/>
          <w:b w:val="0"/>
          <w:i w:val="0"/>
          <w:color w:val="010000"/>
          <w:sz w:val="20"/>
        </w:rPr>
        <w:t>Approve on increasing capital and amending the Charter.</w:t>
      </w:r>
    </w:p>
    <w:p w14:paraId="77F4F98E" w14:textId="2DDF8E2A" w:rsidR="00C421AE" w:rsidRPr="00C421AE" w:rsidRDefault="00C421AE" w:rsidP="00811CBD">
      <w:pPr>
        <w:pStyle w:val="BodyText"/>
        <w:spacing w:after="120" w:line="360" w:lineRule="auto"/>
        <w:ind w:firstLine="0"/>
        <w:jc w:val="both"/>
        <w:rPr>
          <w:rFonts w:ascii="Arial" w:hAnsi="Arial" w:cs="Arial"/>
          <w:color w:val="010000"/>
          <w:sz w:val="20"/>
        </w:rPr>
      </w:pPr>
      <w:r>
        <w:rPr>
          <w:rFonts w:ascii="Arial" w:hAnsi="Arial"/>
          <w:color w:val="010000"/>
          <w:sz w:val="20"/>
        </w:rPr>
        <w:t>The General Meeting of Shareholders approves on increase charter capital corresponding to the total par value of the shares used to pay dividends and update and amend the contents related to charter capital and shares in Clause 1, Article 5 of C.E.O Group Joint Stock Company according to the Charter Capital amount after completing the issuance.</w:t>
      </w:r>
    </w:p>
    <w:p w14:paraId="00000011" w14:textId="77777777" w:rsidR="00B25F22" w:rsidRPr="00C421AE" w:rsidRDefault="00D42753" w:rsidP="00811CBD">
      <w:pPr>
        <w:numPr>
          <w:ilvl w:val="0"/>
          <w:numId w:val="3"/>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Pr>
          <w:rFonts w:ascii="Arial" w:hAnsi="Arial"/>
          <w:color w:val="010000"/>
          <w:sz w:val="20"/>
        </w:rPr>
        <w:lastRenderedPageBreak/>
        <w:t>Approve the Proposal on selecting an audit company for the fiscal year 2024.</w:t>
      </w:r>
    </w:p>
    <w:p w14:paraId="00000012" w14:textId="77777777" w:rsidR="00B25F22" w:rsidRPr="00C421AE" w:rsidRDefault="00D42753" w:rsidP="00811CBD">
      <w:pPr>
        <w:numPr>
          <w:ilvl w:val="0"/>
          <w:numId w:val="3"/>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Pr>
          <w:rFonts w:ascii="Arial" w:hAnsi="Arial"/>
          <w:color w:val="010000"/>
          <w:sz w:val="20"/>
        </w:rPr>
        <w:t>Approve on the Proposal on the remuneration of the Board of Directors and the Supervisory Board in 2024.</w:t>
      </w:r>
    </w:p>
    <w:p w14:paraId="00000013" w14:textId="77777777" w:rsidR="00B25F22" w:rsidRPr="00C421AE" w:rsidRDefault="00D42753" w:rsidP="00811CBD">
      <w:pPr>
        <w:numPr>
          <w:ilvl w:val="0"/>
          <w:numId w:val="3"/>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Pr>
          <w:rFonts w:ascii="Arial" w:hAnsi="Arial"/>
          <w:color w:val="010000"/>
          <w:sz w:val="20"/>
        </w:rPr>
        <w:t>Approve the Proposal on adjusting business lines and amending the Company’s Charter, and Regulations on organization and operation of the Board of Directors.</w:t>
      </w:r>
    </w:p>
    <w:p w14:paraId="00000014" w14:textId="77777777" w:rsidR="00B25F22" w:rsidRPr="00C421AE" w:rsidRDefault="00D42753" w:rsidP="00811CBD">
      <w:pPr>
        <w:numPr>
          <w:ilvl w:val="0"/>
          <w:numId w:val="3"/>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Pr>
          <w:rFonts w:ascii="Arial" w:hAnsi="Arial"/>
          <w:color w:val="010000"/>
          <w:sz w:val="20"/>
        </w:rPr>
        <w:t>Approve on the dismissal and election of additional members of the Board of Directors for the 2022-2027 term.</w:t>
      </w:r>
    </w:p>
    <w:p w14:paraId="00000015" w14:textId="77777777" w:rsidR="00B25F22" w:rsidRPr="00C421AE" w:rsidRDefault="00D42753" w:rsidP="00811CBD">
      <w:pPr>
        <w:numPr>
          <w:ilvl w:val="1"/>
          <w:numId w:val="3"/>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Pr>
          <w:rFonts w:ascii="Arial" w:hAnsi="Arial"/>
          <w:color w:val="010000"/>
          <w:sz w:val="20"/>
        </w:rPr>
        <w:t>Approve the Proposal on the dismissal and election additional members of the Board of Directors for the 2022-2027 term.</w:t>
      </w:r>
    </w:p>
    <w:p w14:paraId="421D1F01" w14:textId="77777777" w:rsidR="00402955" w:rsidRPr="00C421AE" w:rsidRDefault="00D42753" w:rsidP="00811CBD">
      <w:pPr>
        <w:numPr>
          <w:ilvl w:val="1"/>
          <w:numId w:val="3"/>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Pr>
          <w:rFonts w:ascii="Arial" w:hAnsi="Arial"/>
          <w:color w:val="010000"/>
          <w:sz w:val="20"/>
        </w:rPr>
        <w:t>Approve the election results on additional members of the Board of Directors for the 2022-2027 term: Mr. Nguyen Van Dong was elected as a member of the Board of Directors for the 2022-2027 term.</w:t>
      </w:r>
    </w:p>
    <w:p w14:paraId="00000017" w14:textId="48460AE7" w:rsidR="00B25F22" w:rsidRPr="00C421AE" w:rsidRDefault="00D42753" w:rsidP="00811C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Terms enforcement:</w:t>
      </w:r>
    </w:p>
    <w:p w14:paraId="00000018" w14:textId="18FE0092" w:rsidR="00B25F22" w:rsidRPr="00C421AE" w:rsidRDefault="00D42753" w:rsidP="00811CBD">
      <w:pPr>
        <w:numPr>
          <w:ilvl w:val="0"/>
          <w:numId w:val="1"/>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has been voted for by 100% of the total shares of shareholders directly or </w:t>
      </w:r>
      <w:r w:rsidR="00A90DBF">
        <w:rPr>
          <w:rFonts w:ascii="Arial" w:hAnsi="Arial"/>
          <w:color w:val="010000"/>
          <w:sz w:val="20"/>
        </w:rPr>
        <w:t>by</w:t>
      </w:r>
      <w:r>
        <w:rPr>
          <w:rFonts w:ascii="Arial" w:hAnsi="Arial"/>
          <w:color w:val="010000"/>
          <w:sz w:val="20"/>
        </w:rPr>
        <w:t xml:space="preserve"> </w:t>
      </w:r>
      <w:r w:rsidR="00E75D25">
        <w:rPr>
          <w:rFonts w:ascii="Arial" w:hAnsi="Arial"/>
          <w:color w:val="010000"/>
          <w:sz w:val="20"/>
        </w:rPr>
        <w:t xml:space="preserve">representatives </w:t>
      </w:r>
      <w:r>
        <w:rPr>
          <w:rFonts w:ascii="Arial" w:hAnsi="Arial"/>
          <w:color w:val="010000"/>
          <w:sz w:val="20"/>
        </w:rPr>
        <w:t>attending the meeting and takes effect from the date of signing.</w:t>
      </w:r>
    </w:p>
    <w:p w14:paraId="00000019" w14:textId="77777777" w:rsidR="00B25F22" w:rsidRPr="00C421AE" w:rsidRDefault="00D42753" w:rsidP="00811CBD">
      <w:pPr>
        <w:numPr>
          <w:ilvl w:val="0"/>
          <w:numId w:val="1"/>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the Supervisory Board, and the Board of Management, based on their functions, tasks and authorities, are responsible for organizing and implementing the contents of this General Mandate.</w:t>
      </w:r>
    </w:p>
    <w:sectPr w:rsidR="00B25F22" w:rsidRPr="00C421AE" w:rsidSect="00FA00FF">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883"/>
    <w:multiLevelType w:val="multilevel"/>
    <w:tmpl w:val="4BA2F6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6682385"/>
    <w:multiLevelType w:val="multilevel"/>
    <w:tmpl w:val="523C2276"/>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534664"/>
    <w:multiLevelType w:val="multilevel"/>
    <w:tmpl w:val="D2A81458"/>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137401"/>
    <w:multiLevelType w:val="multilevel"/>
    <w:tmpl w:val="5A025644"/>
    <w:lvl w:ilvl="0">
      <w:numFmt w:val="bullet"/>
      <w:lvlText w:val="-"/>
      <w:lvlJc w:val="left"/>
      <w:pPr>
        <w:ind w:left="720" w:hanging="360"/>
      </w:pPr>
      <w:rPr>
        <w:rFonts w:ascii="Arial" w:eastAsia="Arial" w:hAnsi="Arial" w:cs="Arial"/>
        <w:b w:val="0"/>
        <w:i w:val="0"/>
        <w:sz w:val="20"/>
        <w:u w:val="none"/>
      </w:rPr>
    </w:lvl>
    <w:lvl w:ilvl="1">
      <w:start w:val="1"/>
      <w:numFmt w:val="bullet"/>
      <w:lvlText w:val="o"/>
      <w:lvlJc w:val="left"/>
      <w:pPr>
        <w:ind w:left="1440" w:hanging="360"/>
      </w:pPr>
      <w:rPr>
        <w:rFonts w:ascii="Arial" w:eastAsia="Courier New" w:hAnsi="Arial" w:cs="Arial"/>
        <w:b w:val="0"/>
        <w:i w:val="0"/>
        <w:sz w:val="20"/>
      </w:rPr>
    </w:lvl>
    <w:lvl w:ilvl="2">
      <w:start w:val="1"/>
      <w:numFmt w:val="bullet"/>
      <w:lvlText w:val="▪"/>
      <w:lvlJc w:val="left"/>
      <w:pPr>
        <w:ind w:left="2160" w:hanging="360"/>
      </w:pPr>
      <w:rPr>
        <w:rFonts w:ascii="Arial" w:eastAsia="Noto Sans Symbols" w:hAnsi="Arial" w:cs="Arial"/>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85292D"/>
    <w:multiLevelType w:val="multilevel"/>
    <w:tmpl w:val="12E67488"/>
    <w:lvl w:ilvl="0">
      <w:start w:val="1"/>
      <w:numFmt w:val="bullet"/>
      <w:lvlText w:val="●"/>
      <w:lvlJc w:val="left"/>
      <w:pPr>
        <w:ind w:left="720" w:hanging="360"/>
      </w:pPr>
      <w:rPr>
        <w:rFonts w:ascii="Arial" w:hAnsi="Arial" w:cs="Arial"/>
        <w:b w:val="0"/>
        <w:i w:val="0"/>
        <w:sz w:val="20"/>
        <w:u w:val="none"/>
      </w:rPr>
    </w:lvl>
    <w:lvl w:ilvl="1">
      <w:start w:val="1"/>
      <w:numFmt w:val="bullet"/>
      <w:lvlText w:val="○"/>
      <w:lvlJc w:val="left"/>
      <w:pPr>
        <w:ind w:left="1440" w:hanging="360"/>
      </w:pPr>
      <w:rPr>
        <w:rFonts w:ascii="Arial" w:hAnsi="Arial" w:cs="Arial"/>
        <w:b w:val="0"/>
        <w:i w:val="0"/>
        <w:sz w:val="20"/>
        <w:u w:val="none"/>
      </w:rPr>
    </w:lvl>
    <w:lvl w:ilvl="2">
      <w:start w:val="1"/>
      <w:numFmt w:val="bullet"/>
      <w:lvlText w:val="■"/>
      <w:lvlJc w:val="left"/>
      <w:pPr>
        <w:ind w:left="2160" w:hanging="360"/>
      </w:pPr>
      <w:rPr>
        <w:rFonts w:ascii="Arial" w:hAnsi="Arial" w:cs="Arial"/>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617495"/>
    <w:multiLevelType w:val="multilevel"/>
    <w:tmpl w:val="64965F0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D44BBC"/>
    <w:multiLevelType w:val="multilevel"/>
    <w:tmpl w:val="A4723D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2"/>
    <w:rsid w:val="0017168B"/>
    <w:rsid w:val="00211C3C"/>
    <w:rsid w:val="00402955"/>
    <w:rsid w:val="00417E17"/>
    <w:rsid w:val="006071B6"/>
    <w:rsid w:val="00811CBD"/>
    <w:rsid w:val="009151F5"/>
    <w:rsid w:val="009D7ECE"/>
    <w:rsid w:val="00A90DBF"/>
    <w:rsid w:val="00B25F22"/>
    <w:rsid w:val="00B8438A"/>
    <w:rsid w:val="00C33A26"/>
    <w:rsid w:val="00C421AE"/>
    <w:rsid w:val="00CE4944"/>
    <w:rsid w:val="00D42753"/>
    <w:rsid w:val="00E75D25"/>
    <w:rsid w:val="00F22A29"/>
    <w:rsid w:val="00FA00FF"/>
    <w:rsid w:val="00FA21F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3AA8D"/>
  <w15:docId w15:val="{0C773875-1506-4778-B9D3-8B14D79E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3C3C3C"/>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2"/>
      <w:szCs w:val="22"/>
      <w:u w:val="none"/>
    </w:rPr>
  </w:style>
  <w:style w:type="paragraph" w:styleId="BodyText">
    <w:name w:val="Body Text"/>
    <w:basedOn w:val="Normal"/>
    <w:link w:val="BodyTextChar"/>
    <w:qFormat/>
    <w:pPr>
      <w:shd w:val="clear" w:color="auto" w:fill="FFFFFF"/>
      <w:spacing w:line="274"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line="209" w:lineRule="auto"/>
      <w:ind w:left="1850"/>
      <w:outlineLvl w:val="0"/>
    </w:pPr>
    <w:rPr>
      <w:rFonts w:ascii="Arial" w:eastAsia="Arial" w:hAnsi="Arial" w:cs="Arial"/>
      <w:color w:val="3C3C3C"/>
      <w:sz w:val="32"/>
      <w:szCs w:val="32"/>
    </w:rPr>
  </w:style>
  <w:style w:type="paragraph" w:customStyle="1" w:styleId="Bodytext20">
    <w:name w:val="Body text (2)"/>
    <w:basedOn w:val="Normal"/>
    <w:link w:val="Bodytext2"/>
    <w:pPr>
      <w:shd w:val="clear" w:color="auto" w:fill="FFFFFF"/>
      <w:spacing w:line="235" w:lineRule="auto"/>
      <w:ind w:left="2600"/>
    </w:pPr>
    <w:rPr>
      <w:rFonts w:ascii="Arial" w:eastAsia="Arial" w:hAnsi="Arial" w:cs="Arial"/>
      <w:sz w:val="10"/>
      <w:szCs w:val="10"/>
    </w:rPr>
  </w:style>
  <w:style w:type="paragraph" w:customStyle="1" w:styleId="Bodytext30">
    <w:name w:val="Body text (3)"/>
    <w:basedOn w:val="Normal"/>
    <w:link w:val="Bodytext3"/>
    <w:pPr>
      <w:shd w:val="clear" w:color="auto" w:fill="FFFFFF"/>
      <w:spacing w:line="223" w:lineRule="auto"/>
      <w:ind w:left="1960"/>
    </w:pPr>
    <w:rPr>
      <w:rFonts w:ascii="Arial" w:eastAsia="Arial" w:hAnsi="Arial" w:cs="Arial"/>
      <w:sz w:val="17"/>
      <w:szCs w:val="17"/>
    </w:rPr>
  </w:style>
  <w:style w:type="paragraph" w:customStyle="1" w:styleId="Heading21">
    <w:name w:val="Heading #2"/>
    <w:basedOn w:val="Normal"/>
    <w:link w:val="Heading20"/>
    <w:pPr>
      <w:shd w:val="clear" w:color="auto" w:fill="FFFFFF"/>
      <w:spacing w:line="274" w:lineRule="auto"/>
      <w:ind w:firstLine="680"/>
      <w:outlineLvl w:val="1"/>
    </w:pPr>
    <w:rPr>
      <w:rFonts w:ascii="Times New Roman" w:eastAsia="Times New Roman" w:hAnsi="Times New Roman" w:cs="Times New Roman"/>
      <w:b/>
      <w:bCs/>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ablecaption">
    <w:name w:val="Table caption_"/>
    <w:basedOn w:val="DefaultParagraphFont"/>
    <w:link w:val="Tablecaption0"/>
    <w:rsid w:val="00402955"/>
    <w:rPr>
      <w:rFonts w:ascii="Times New Roman" w:eastAsia="Times New Roman" w:hAnsi="Times New Roman" w:cs="Times New Roman"/>
      <w:b/>
      <w:bCs/>
      <w:sz w:val="22"/>
      <w:szCs w:val="22"/>
    </w:rPr>
  </w:style>
  <w:style w:type="character" w:customStyle="1" w:styleId="Other">
    <w:name w:val="Other_"/>
    <w:basedOn w:val="DefaultParagraphFont"/>
    <w:link w:val="Other0"/>
    <w:rsid w:val="00402955"/>
    <w:rPr>
      <w:rFonts w:ascii="Times New Roman" w:eastAsia="Times New Roman" w:hAnsi="Times New Roman" w:cs="Times New Roman"/>
    </w:rPr>
  </w:style>
  <w:style w:type="paragraph" w:customStyle="1" w:styleId="Tablecaption0">
    <w:name w:val="Table caption"/>
    <w:basedOn w:val="Normal"/>
    <w:link w:val="Tablecaption"/>
    <w:rsid w:val="00402955"/>
    <w:pPr>
      <w:spacing w:line="266" w:lineRule="auto"/>
      <w:ind w:firstLine="220"/>
    </w:pPr>
    <w:rPr>
      <w:rFonts w:ascii="Times New Roman" w:eastAsia="Times New Roman" w:hAnsi="Times New Roman" w:cs="Times New Roman"/>
      <w:b/>
      <w:bCs/>
      <w:color w:val="auto"/>
      <w:sz w:val="22"/>
      <w:szCs w:val="22"/>
    </w:rPr>
  </w:style>
  <w:style w:type="paragraph" w:customStyle="1" w:styleId="Other0">
    <w:name w:val="Other"/>
    <w:basedOn w:val="Normal"/>
    <w:link w:val="Other"/>
    <w:rsid w:val="00402955"/>
    <w:pPr>
      <w:spacing w:line="319" w:lineRule="auto"/>
      <w:ind w:firstLine="20"/>
    </w:pPr>
    <w:rPr>
      <w:rFonts w:ascii="Times New Roman" w:eastAsia="Times New Roman" w:hAnsi="Times New Roman" w:cs="Times New Roman"/>
      <w:color w:val="auto"/>
    </w:rPr>
  </w:style>
  <w:style w:type="paragraph" w:styleId="ListParagraph">
    <w:name w:val="List Paragraph"/>
    <w:basedOn w:val="Normal"/>
    <w:uiPriority w:val="34"/>
    <w:qFormat/>
    <w:rsid w:val="00402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OqBqEUl0eOT9uXE0AuhCgPQg==">CgMxLjAyCGguZ2pkZ3hzOAByITFQbjE5dnRxMXFOQVpKbjFMNEZCeXJ3TklHY0hUb0JIQw==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19</cp:revision>
  <dcterms:created xsi:type="dcterms:W3CDTF">2024-05-08T03:54:00Z</dcterms:created>
  <dcterms:modified xsi:type="dcterms:W3CDTF">2024-05-09T03:50:00Z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8f86db76c2256b6cae3a44598f1f16d8e8837ac859be2344497a098de4a720d3</vt:lpwstr>
  </property>
</Properties>
</file>