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3457" w:rsidRPr="0091379E" w:rsidRDefault="0091379E" w:rsidP="00960F48">
      <w:pPr>
        <w:pBdr>
          <w:top w:val="nil"/>
          <w:left w:val="nil"/>
          <w:bottom w:val="nil"/>
          <w:right w:val="nil"/>
          <w:between w:val="nil"/>
        </w:pBdr>
        <w:tabs>
          <w:tab w:val="left" w:pos="360"/>
          <w:tab w:val="left" w:pos="6569"/>
        </w:tabs>
        <w:spacing w:after="120" w:line="360" w:lineRule="auto"/>
        <w:jc w:val="both"/>
        <w:rPr>
          <w:rFonts w:ascii="Arial" w:eastAsia="Arial" w:hAnsi="Arial" w:cs="Arial"/>
          <w:b/>
          <w:color w:val="010000"/>
          <w:sz w:val="20"/>
          <w:szCs w:val="20"/>
        </w:rPr>
      </w:pPr>
      <w:r>
        <w:rPr>
          <w:rFonts w:ascii="Arial" w:hAnsi="Arial"/>
          <w:b/>
          <w:color w:val="010000"/>
          <w:sz w:val="20"/>
        </w:rPr>
        <w:t>CID: Annual General Mandate 2024</w:t>
      </w:r>
    </w:p>
    <w:p w14:paraId="00000002" w14:textId="64D83729" w:rsidR="00F13457" w:rsidRPr="0091379E" w:rsidRDefault="0091379E" w:rsidP="00960F48">
      <w:pPr>
        <w:pBdr>
          <w:top w:val="nil"/>
          <w:left w:val="nil"/>
          <w:bottom w:val="nil"/>
          <w:right w:val="nil"/>
          <w:between w:val="nil"/>
        </w:pBdr>
        <w:tabs>
          <w:tab w:val="left" w:pos="360"/>
          <w:tab w:val="left" w:pos="6569"/>
        </w:tabs>
        <w:spacing w:after="120" w:line="360" w:lineRule="auto"/>
        <w:jc w:val="both"/>
        <w:rPr>
          <w:rFonts w:ascii="Arial" w:eastAsia="Arial" w:hAnsi="Arial" w:cs="Arial"/>
          <w:color w:val="010000"/>
          <w:sz w:val="20"/>
          <w:szCs w:val="20"/>
        </w:rPr>
      </w:pPr>
      <w:r>
        <w:rPr>
          <w:rFonts w:ascii="Arial" w:hAnsi="Arial"/>
          <w:color w:val="010000"/>
          <w:sz w:val="20"/>
        </w:rPr>
        <w:t xml:space="preserve">On April 27, 2024, Construction and Infrastructure Development JSC announced </w:t>
      </w:r>
      <w:r w:rsidR="00960F48">
        <w:rPr>
          <w:rFonts w:ascii="Arial" w:hAnsi="Arial"/>
          <w:color w:val="010000"/>
          <w:sz w:val="20"/>
        </w:rPr>
        <w:t xml:space="preserve">the </w:t>
      </w:r>
      <w:r>
        <w:rPr>
          <w:rFonts w:ascii="Arial" w:hAnsi="Arial"/>
          <w:color w:val="010000"/>
          <w:sz w:val="20"/>
        </w:rPr>
        <w:t xml:space="preserve">General Mandate as </w:t>
      </w:r>
      <w:r w:rsidR="00960F48">
        <w:rPr>
          <w:rFonts w:ascii="Arial" w:hAnsi="Arial"/>
          <w:color w:val="010000"/>
          <w:sz w:val="20"/>
        </w:rPr>
        <w:t>follows</w:t>
      </w:r>
      <w:r>
        <w:rPr>
          <w:rFonts w:ascii="Arial" w:hAnsi="Arial"/>
          <w:color w:val="010000"/>
          <w:sz w:val="20"/>
        </w:rPr>
        <w:t>:</w:t>
      </w:r>
    </w:p>
    <w:p w14:paraId="00000003" w14:textId="16428D62" w:rsidR="00F13457" w:rsidRPr="0091379E" w:rsidRDefault="0091379E" w:rsidP="00960F48">
      <w:pPr>
        <w:numPr>
          <w:ilvl w:val="0"/>
          <w:numId w:val="3"/>
        </w:numPr>
        <w:pBdr>
          <w:top w:val="nil"/>
          <w:left w:val="nil"/>
          <w:bottom w:val="nil"/>
          <w:right w:val="nil"/>
          <w:between w:val="nil"/>
        </w:pBdr>
        <w:tabs>
          <w:tab w:val="left" w:pos="360"/>
          <w:tab w:val="left" w:pos="6569"/>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production and business results for the year 2023 and the revenue plan for the year 2024 with </w:t>
      </w:r>
      <w:r w:rsidR="0055141B">
        <w:rPr>
          <w:rFonts w:ascii="Arial" w:hAnsi="Arial"/>
          <w:color w:val="010000"/>
          <w:sz w:val="20"/>
        </w:rPr>
        <w:t xml:space="preserve">a </w:t>
      </w:r>
      <w:r>
        <w:rPr>
          <w:rFonts w:ascii="Arial" w:hAnsi="Arial"/>
          <w:color w:val="010000"/>
          <w:sz w:val="20"/>
        </w:rPr>
        <w:t>revenue target of VND 5 billion and 15% profit.</w:t>
      </w:r>
    </w:p>
    <w:p w14:paraId="00000004" w14:textId="77777777" w:rsidR="00F13457" w:rsidRPr="0091379E" w:rsidRDefault="0091379E" w:rsidP="00960F48">
      <w:pPr>
        <w:pBdr>
          <w:top w:val="nil"/>
          <w:left w:val="nil"/>
          <w:bottom w:val="nil"/>
          <w:right w:val="nil"/>
          <w:between w:val="nil"/>
        </w:pBdr>
        <w:tabs>
          <w:tab w:val="left" w:pos="360"/>
          <w:tab w:val="left" w:pos="2458"/>
        </w:tabs>
        <w:spacing w:after="120" w:line="360" w:lineRule="auto"/>
        <w:jc w:val="both"/>
        <w:rPr>
          <w:rFonts w:ascii="Arial" w:eastAsia="Arial" w:hAnsi="Arial" w:cs="Arial"/>
          <w:color w:val="010000"/>
          <w:sz w:val="20"/>
          <w:szCs w:val="20"/>
        </w:rPr>
      </w:pPr>
      <w:r>
        <w:rPr>
          <w:rFonts w:ascii="Arial" w:hAnsi="Arial"/>
          <w:color w:val="010000"/>
          <w:sz w:val="20"/>
        </w:rPr>
        <w:t>Result on production and business activities in 2023:</w:t>
      </w:r>
    </w:p>
    <w:p w14:paraId="00000005" w14:textId="77777777" w:rsidR="00F13457" w:rsidRPr="0091379E" w:rsidRDefault="0091379E" w:rsidP="00960F48">
      <w:pPr>
        <w:numPr>
          <w:ilvl w:val="0"/>
          <w:numId w:val="1"/>
        </w:numPr>
        <w:pBdr>
          <w:top w:val="nil"/>
          <w:left w:val="nil"/>
          <w:bottom w:val="nil"/>
          <w:right w:val="nil"/>
          <w:between w:val="nil"/>
        </w:pBdr>
        <w:tabs>
          <w:tab w:val="left" w:pos="360"/>
          <w:tab w:val="left" w:pos="5623"/>
        </w:tabs>
        <w:spacing w:after="120" w:line="360" w:lineRule="auto"/>
        <w:jc w:val="both"/>
        <w:rPr>
          <w:rFonts w:ascii="Arial" w:eastAsia="Arial" w:hAnsi="Arial" w:cs="Arial"/>
          <w:color w:val="010000"/>
          <w:sz w:val="20"/>
          <w:szCs w:val="20"/>
        </w:rPr>
      </w:pPr>
      <w:r>
        <w:rPr>
          <w:rFonts w:ascii="Arial" w:hAnsi="Arial"/>
          <w:color w:val="010000"/>
          <w:sz w:val="20"/>
        </w:rPr>
        <w:t>Revenue: VND 5,208,009,455</w:t>
      </w:r>
    </w:p>
    <w:p w14:paraId="00000006" w14:textId="77777777" w:rsidR="00F13457" w:rsidRPr="0091379E" w:rsidRDefault="0091379E" w:rsidP="00960F48">
      <w:pPr>
        <w:numPr>
          <w:ilvl w:val="0"/>
          <w:numId w:val="1"/>
        </w:numPr>
        <w:pBdr>
          <w:top w:val="nil"/>
          <w:left w:val="nil"/>
          <w:bottom w:val="nil"/>
          <w:right w:val="nil"/>
          <w:between w:val="nil"/>
        </w:pBdr>
        <w:tabs>
          <w:tab w:val="left" w:pos="360"/>
          <w:tab w:val="left" w:pos="3092"/>
        </w:tabs>
        <w:spacing w:after="120" w:line="360" w:lineRule="auto"/>
        <w:jc w:val="both"/>
        <w:rPr>
          <w:rFonts w:ascii="Arial" w:eastAsia="Arial" w:hAnsi="Arial" w:cs="Arial"/>
          <w:color w:val="010000"/>
          <w:sz w:val="20"/>
          <w:szCs w:val="20"/>
        </w:rPr>
      </w:pPr>
      <w:r>
        <w:rPr>
          <w:rFonts w:ascii="Arial" w:hAnsi="Arial"/>
          <w:color w:val="010000"/>
          <w:sz w:val="20"/>
        </w:rPr>
        <w:t>Profit before tax: VND 2,582,103,221</w:t>
      </w:r>
    </w:p>
    <w:p w14:paraId="00000007" w14:textId="7FC056EE" w:rsidR="00F13457" w:rsidRPr="0091379E" w:rsidRDefault="0091379E" w:rsidP="00960F48">
      <w:pPr>
        <w:numPr>
          <w:ilvl w:val="0"/>
          <w:numId w:val="1"/>
        </w:numPr>
        <w:pBdr>
          <w:top w:val="nil"/>
          <w:left w:val="nil"/>
          <w:bottom w:val="nil"/>
          <w:right w:val="nil"/>
          <w:between w:val="nil"/>
        </w:pBdr>
        <w:tabs>
          <w:tab w:val="left" w:pos="360"/>
          <w:tab w:val="left" w:pos="3092"/>
          <w:tab w:val="left" w:pos="5623"/>
        </w:tabs>
        <w:spacing w:after="120" w:line="360" w:lineRule="auto"/>
        <w:jc w:val="both"/>
        <w:rPr>
          <w:rFonts w:ascii="Arial" w:eastAsia="Arial" w:hAnsi="Arial" w:cs="Arial"/>
          <w:color w:val="010000"/>
          <w:sz w:val="20"/>
          <w:szCs w:val="20"/>
        </w:rPr>
      </w:pPr>
      <w:r>
        <w:rPr>
          <w:rFonts w:ascii="Arial" w:hAnsi="Arial"/>
          <w:color w:val="010000"/>
          <w:sz w:val="20"/>
        </w:rPr>
        <w:t>Profit after tax: VND 2,055,247,377</w:t>
      </w:r>
    </w:p>
    <w:p w14:paraId="00000008" w14:textId="77777777" w:rsidR="00F13457" w:rsidRPr="0091379E" w:rsidRDefault="0091379E" w:rsidP="00960F48">
      <w:pPr>
        <w:pBdr>
          <w:top w:val="nil"/>
          <w:left w:val="nil"/>
          <w:bottom w:val="nil"/>
          <w:right w:val="nil"/>
          <w:between w:val="nil"/>
        </w:pBdr>
        <w:tabs>
          <w:tab w:val="left" w:pos="360"/>
          <w:tab w:val="left" w:pos="2467"/>
        </w:tabs>
        <w:spacing w:after="120" w:line="360" w:lineRule="auto"/>
        <w:jc w:val="both"/>
        <w:rPr>
          <w:rFonts w:ascii="Arial" w:eastAsia="Arial" w:hAnsi="Arial" w:cs="Arial"/>
          <w:color w:val="010000"/>
          <w:sz w:val="20"/>
          <w:szCs w:val="20"/>
        </w:rPr>
      </w:pPr>
      <w:r>
        <w:rPr>
          <w:rFonts w:ascii="Arial" w:hAnsi="Arial"/>
          <w:color w:val="010000"/>
          <w:sz w:val="20"/>
        </w:rPr>
        <w:t>Production and business plan for 2024:</w:t>
      </w:r>
    </w:p>
    <w:p w14:paraId="00000009" w14:textId="77777777" w:rsidR="00F13457" w:rsidRPr="0091379E" w:rsidRDefault="0091379E" w:rsidP="00960F48">
      <w:pPr>
        <w:numPr>
          <w:ilvl w:val="0"/>
          <w:numId w:val="2"/>
        </w:numPr>
        <w:pBdr>
          <w:top w:val="nil"/>
          <w:left w:val="nil"/>
          <w:bottom w:val="nil"/>
          <w:right w:val="nil"/>
          <w:between w:val="nil"/>
        </w:pBdr>
        <w:tabs>
          <w:tab w:val="left" w:pos="360"/>
          <w:tab w:val="left" w:pos="5623"/>
        </w:tabs>
        <w:spacing w:after="120" w:line="360" w:lineRule="auto"/>
        <w:ind w:left="0" w:firstLine="0"/>
        <w:jc w:val="both"/>
        <w:rPr>
          <w:rFonts w:ascii="Arial" w:eastAsia="Arial" w:hAnsi="Arial" w:cs="Arial"/>
          <w:color w:val="010000"/>
          <w:sz w:val="20"/>
          <w:szCs w:val="20"/>
        </w:rPr>
      </w:pPr>
      <w:r>
        <w:rPr>
          <w:rFonts w:ascii="Arial" w:hAnsi="Arial"/>
          <w:color w:val="010000"/>
          <w:sz w:val="20"/>
        </w:rPr>
        <w:t>Revenue: VND 5,000,000,000</w:t>
      </w:r>
    </w:p>
    <w:p w14:paraId="0000000A" w14:textId="77777777" w:rsidR="00F13457" w:rsidRPr="0091379E" w:rsidRDefault="0091379E" w:rsidP="00960F48">
      <w:pPr>
        <w:numPr>
          <w:ilvl w:val="0"/>
          <w:numId w:val="2"/>
        </w:numPr>
        <w:pBdr>
          <w:top w:val="nil"/>
          <w:left w:val="nil"/>
          <w:bottom w:val="nil"/>
          <w:right w:val="nil"/>
          <w:between w:val="nil"/>
        </w:pBdr>
        <w:tabs>
          <w:tab w:val="left" w:pos="360"/>
          <w:tab w:val="left" w:pos="5921"/>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15%</w:t>
      </w:r>
    </w:p>
    <w:p w14:paraId="0000000B" w14:textId="77777777" w:rsidR="00F13457" w:rsidRPr="0091379E" w:rsidRDefault="0091379E" w:rsidP="00960F48">
      <w:pPr>
        <w:numPr>
          <w:ilvl w:val="0"/>
          <w:numId w:val="3"/>
        </w:numPr>
        <w:pBdr>
          <w:top w:val="nil"/>
          <w:left w:val="nil"/>
          <w:bottom w:val="nil"/>
          <w:right w:val="nil"/>
          <w:between w:val="nil"/>
        </w:pBdr>
        <w:tabs>
          <w:tab w:val="left" w:pos="360"/>
          <w:tab w:val="left" w:pos="1433"/>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Board of Directors</w:t>
      </w:r>
    </w:p>
    <w:p w14:paraId="0000000C" w14:textId="77777777" w:rsidR="00F13457" w:rsidRPr="0091379E" w:rsidRDefault="0091379E" w:rsidP="00960F48">
      <w:pPr>
        <w:numPr>
          <w:ilvl w:val="0"/>
          <w:numId w:val="3"/>
        </w:numPr>
        <w:pBdr>
          <w:top w:val="nil"/>
          <w:left w:val="nil"/>
          <w:bottom w:val="nil"/>
          <w:right w:val="nil"/>
          <w:between w:val="nil"/>
        </w:pBdr>
        <w:tabs>
          <w:tab w:val="left" w:pos="360"/>
          <w:tab w:val="left" w:pos="1436"/>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of the Supervisory Board.</w:t>
      </w:r>
    </w:p>
    <w:p w14:paraId="0000000D" w14:textId="77777777" w:rsidR="00F13457" w:rsidRPr="0091379E" w:rsidRDefault="0091379E" w:rsidP="00960F48">
      <w:pPr>
        <w:numPr>
          <w:ilvl w:val="0"/>
          <w:numId w:val="3"/>
        </w:numPr>
        <w:pBdr>
          <w:top w:val="nil"/>
          <w:left w:val="nil"/>
          <w:bottom w:val="nil"/>
          <w:right w:val="nil"/>
          <w:between w:val="nil"/>
        </w:pBdr>
        <w:tabs>
          <w:tab w:val="left" w:pos="360"/>
          <w:tab w:val="left" w:pos="1429"/>
        </w:tabs>
        <w:spacing w:after="120" w:line="360" w:lineRule="auto"/>
        <w:jc w:val="both"/>
        <w:rPr>
          <w:rFonts w:ascii="Arial" w:eastAsia="Arial" w:hAnsi="Arial" w:cs="Arial"/>
          <w:color w:val="010000"/>
          <w:sz w:val="20"/>
          <w:szCs w:val="20"/>
        </w:rPr>
      </w:pPr>
      <w:r>
        <w:rPr>
          <w:rFonts w:ascii="Arial" w:hAnsi="Arial"/>
          <w:color w:val="010000"/>
          <w:sz w:val="20"/>
        </w:rPr>
        <w:t>Article 4: Approve the Audited Financial Statements 2023</w:t>
      </w:r>
    </w:p>
    <w:p w14:paraId="0000000E" w14:textId="53C0E06E" w:rsidR="00F13457" w:rsidRPr="0091379E" w:rsidRDefault="0091379E" w:rsidP="00960F48">
      <w:pPr>
        <w:numPr>
          <w:ilvl w:val="0"/>
          <w:numId w:val="3"/>
        </w:numPr>
        <w:pBdr>
          <w:top w:val="nil"/>
          <w:left w:val="nil"/>
          <w:bottom w:val="nil"/>
          <w:right w:val="nil"/>
          <w:between w:val="nil"/>
        </w:pBdr>
        <w:tabs>
          <w:tab w:val="left" w:pos="360"/>
          <w:tab w:val="left" w:pos="1413"/>
        </w:tabs>
        <w:spacing w:after="120" w:line="360" w:lineRule="auto"/>
        <w:jc w:val="both"/>
        <w:rPr>
          <w:rFonts w:ascii="Arial" w:eastAsia="Arial" w:hAnsi="Arial" w:cs="Arial"/>
          <w:color w:val="010000"/>
          <w:sz w:val="20"/>
          <w:szCs w:val="20"/>
        </w:rPr>
      </w:pPr>
      <w:r>
        <w:rPr>
          <w:rFonts w:ascii="Arial" w:hAnsi="Arial"/>
          <w:color w:val="010000"/>
          <w:sz w:val="20"/>
        </w:rPr>
        <w:t xml:space="preserve">Article 5: Approve authorizing the Board of Directors </w:t>
      </w:r>
      <w:r w:rsidR="0055141B">
        <w:rPr>
          <w:rFonts w:ascii="Arial" w:hAnsi="Arial"/>
          <w:color w:val="010000"/>
          <w:sz w:val="20"/>
        </w:rPr>
        <w:t>to select</w:t>
      </w:r>
      <w:r>
        <w:rPr>
          <w:rFonts w:ascii="Arial" w:hAnsi="Arial"/>
          <w:color w:val="010000"/>
          <w:sz w:val="20"/>
        </w:rPr>
        <w:t xml:space="preserve"> an independent audit company for the fiscal year 2024.</w:t>
      </w:r>
    </w:p>
    <w:p w14:paraId="0000000F" w14:textId="604CDCBD" w:rsidR="00F13457" w:rsidRPr="0091379E" w:rsidRDefault="0091379E" w:rsidP="00960F48">
      <w:pPr>
        <w:numPr>
          <w:ilvl w:val="0"/>
          <w:numId w:val="3"/>
        </w:numPr>
        <w:pBdr>
          <w:top w:val="nil"/>
          <w:left w:val="nil"/>
          <w:bottom w:val="nil"/>
          <w:right w:val="nil"/>
          <w:between w:val="nil"/>
        </w:pBdr>
        <w:tabs>
          <w:tab w:val="left" w:pos="360"/>
          <w:tab w:val="left" w:pos="1409"/>
        </w:tabs>
        <w:spacing w:after="120" w:line="360" w:lineRule="auto"/>
        <w:jc w:val="both"/>
        <w:rPr>
          <w:rFonts w:ascii="Arial" w:eastAsia="Arial" w:hAnsi="Arial" w:cs="Arial"/>
          <w:color w:val="010000"/>
          <w:sz w:val="20"/>
          <w:szCs w:val="20"/>
        </w:rPr>
      </w:pPr>
      <w:r>
        <w:rPr>
          <w:rFonts w:ascii="Arial" w:hAnsi="Arial"/>
          <w:color w:val="010000"/>
          <w:sz w:val="20"/>
        </w:rPr>
        <w:t>Article 6: Approve the monthly remuneration expenses for the Board of Directors and Board of Supervisors not exceeding 15% of the monthly salary fund of the Company.</w:t>
      </w:r>
    </w:p>
    <w:p w14:paraId="00000010" w14:textId="296EB188" w:rsidR="00F13457" w:rsidRPr="0091379E" w:rsidRDefault="0091379E" w:rsidP="00960F48">
      <w:pPr>
        <w:numPr>
          <w:ilvl w:val="0"/>
          <w:numId w:val="3"/>
        </w:numPr>
        <w:pBdr>
          <w:top w:val="nil"/>
          <w:left w:val="nil"/>
          <w:bottom w:val="nil"/>
          <w:right w:val="nil"/>
          <w:between w:val="nil"/>
        </w:pBdr>
        <w:tabs>
          <w:tab w:val="left" w:pos="360"/>
          <w:tab w:val="left" w:pos="1416"/>
        </w:tabs>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permission for </w:t>
      </w:r>
      <w:r w:rsidR="0055141B">
        <w:rPr>
          <w:rFonts w:ascii="Arial" w:hAnsi="Arial"/>
          <w:color w:val="010000"/>
          <w:sz w:val="20"/>
        </w:rPr>
        <w:t xml:space="preserve">the </w:t>
      </w:r>
      <w:r>
        <w:rPr>
          <w:rFonts w:ascii="Arial" w:hAnsi="Arial"/>
          <w:color w:val="010000"/>
          <w:sz w:val="20"/>
        </w:rPr>
        <w:t>company to invest in real estate projects with a scale appropriate to the financial resources in cash currently deposited in banks and under conditions of disbursement suitable to the financial capacity of the Company.</w:t>
      </w:r>
    </w:p>
    <w:p w14:paraId="00000011" w14:textId="05EDEA20" w:rsidR="00F13457" w:rsidRPr="0091379E" w:rsidRDefault="0091379E" w:rsidP="00960F48">
      <w:pPr>
        <w:numPr>
          <w:ilvl w:val="0"/>
          <w:numId w:val="3"/>
        </w:numPr>
        <w:pBdr>
          <w:top w:val="nil"/>
          <w:left w:val="nil"/>
          <w:bottom w:val="nil"/>
          <w:right w:val="nil"/>
          <w:between w:val="nil"/>
        </w:pBdr>
        <w:tabs>
          <w:tab w:val="left" w:pos="360"/>
          <w:tab w:val="left" w:pos="1413"/>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permission for </w:t>
      </w:r>
      <w:r w:rsidR="0055141B">
        <w:rPr>
          <w:rFonts w:ascii="Arial" w:hAnsi="Arial"/>
          <w:color w:val="010000"/>
          <w:sz w:val="20"/>
        </w:rPr>
        <w:t xml:space="preserve">the </w:t>
      </w:r>
      <w:r>
        <w:rPr>
          <w:rFonts w:ascii="Arial" w:hAnsi="Arial"/>
          <w:color w:val="010000"/>
          <w:sz w:val="20"/>
        </w:rPr>
        <w:t xml:space="preserve">company to invest in purchasing automobiles and </w:t>
      </w:r>
      <w:r w:rsidR="0055141B">
        <w:rPr>
          <w:rFonts w:ascii="Arial" w:hAnsi="Arial"/>
          <w:color w:val="010000"/>
          <w:sz w:val="20"/>
        </w:rPr>
        <w:t>technical equipment</w:t>
      </w:r>
      <w:r>
        <w:rPr>
          <w:rFonts w:ascii="Arial" w:hAnsi="Arial"/>
          <w:color w:val="010000"/>
          <w:sz w:val="20"/>
        </w:rPr>
        <w:t xml:space="preserve"> suitable for operational needs, </w:t>
      </w:r>
      <w:r w:rsidR="0055141B">
        <w:rPr>
          <w:rFonts w:ascii="Arial" w:hAnsi="Arial"/>
          <w:color w:val="010000"/>
          <w:sz w:val="20"/>
        </w:rPr>
        <w:t>following</w:t>
      </w:r>
      <w:r>
        <w:rPr>
          <w:rFonts w:ascii="Arial" w:hAnsi="Arial"/>
          <w:color w:val="010000"/>
          <w:sz w:val="20"/>
        </w:rPr>
        <w:t xml:space="preserve"> the financial conditions of the Company.</w:t>
      </w:r>
    </w:p>
    <w:p w14:paraId="00000012" w14:textId="77777777" w:rsidR="00F13457" w:rsidRPr="0091379E" w:rsidRDefault="0091379E" w:rsidP="00960F48">
      <w:pPr>
        <w:numPr>
          <w:ilvl w:val="0"/>
          <w:numId w:val="3"/>
        </w:numPr>
        <w:pBdr>
          <w:top w:val="nil"/>
          <w:left w:val="nil"/>
          <w:bottom w:val="nil"/>
          <w:right w:val="nil"/>
          <w:between w:val="nil"/>
        </w:pBdr>
        <w:tabs>
          <w:tab w:val="left" w:pos="360"/>
          <w:tab w:val="left" w:pos="1096"/>
        </w:tabs>
        <w:spacing w:after="120" w:line="360" w:lineRule="auto"/>
        <w:jc w:val="both"/>
        <w:rPr>
          <w:rFonts w:ascii="Arial" w:eastAsia="Arial" w:hAnsi="Arial" w:cs="Arial"/>
          <w:color w:val="010000"/>
          <w:sz w:val="20"/>
          <w:szCs w:val="20"/>
        </w:rPr>
      </w:pPr>
      <w:r>
        <w:rPr>
          <w:rFonts w:ascii="Arial" w:hAnsi="Arial"/>
          <w:color w:val="010000"/>
          <w:sz w:val="20"/>
        </w:rPr>
        <w:t>Article 9: Approve dividends payment from the profit after tax of 2023, which is 6.53%, in cash to the company's shareholders.</w:t>
      </w:r>
    </w:p>
    <w:p w14:paraId="00000014" w14:textId="77777777" w:rsidR="00F13457" w:rsidRPr="0091379E" w:rsidRDefault="0091379E" w:rsidP="00960F48">
      <w:pPr>
        <w:numPr>
          <w:ilvl w:val="0"/>
          <w:numId w:val="3"/>
        </w:numPr>
        <w:pBdr>
          <w:top w:val="nil"/>
          <w:left w:val="nil"/>
          <w:bottom w:val="nil"/>
          <w:right w:val="nil"/>
          <w:between w:val="nil"/>
        </w:pBdr>
        <w:tabs>
          <w:tab w:val="left" w:pos="360"/>
          <w:tab w:val="left" w:pos="1226"/>
        </w:tabs>
        <w:spacing w:after="120" w:line="360" w:lineRule="auto"/>
        <w:jc w:val="both"/>
        <w:rPr>
          <w:rFonts w:ascii="Arial" w:eastAsia="Arial" w:hAnsi="Arial" w:cs="Arial"/>
          <w:color w:val="010000"/>
          <w:sz w:val="20"/>
          <w:szCs w:val="20"/>
        </w:rPr>
      </w:pPr>
      <w:r>
        <w:rPr>
          <w:rFonts w:ascii="Arial" w:hAnsi="Arial"/>
          <w:color w:val="010000"/>
          <w:sz w:val="20"/>
        </w:rPr>
        <w:t>Article 10: Approve for the Company to repurchase issued shares to be held as treasury shares, with the number of shares repurchased in this round reaching up to 10% of the charter capital.</w:t>
      </w:r>
    </w:p>
    <w:p w14:paraId="00000015" w14:textId="77777777" w:rsidR="00F13457" w:rsidRPr="0091379E" w:rsidRDefault="0091379E" w:rsidP="00960F48">
      <w:pPr>
        <w:numPr>
          <w:ilvl w:val="0"/>
          <w:numId w:val="3"/>
        </w:numPr>
        <w:pBdr>
          <w:top w:val="nil"/>
          <w:left w:val="nil"/>
          <w:bottom w:val="nil"/>
          <w:right w:val="nil"/>
          <w:between w:val="nil"/>
        </w:pBdr>
        <w:tabs>
          <w:tab w:val="left" w:pos="360"/>
          <w:tab w:val="left" w:pos="1226"/>
        </w:tabs>
        <w:spacing w:after="120" w:line="360" w:lineRule="auto"/>
        <w:jc w:val="both"/>
        <w:rPr>
          <w:rFonts w:ascii="Arial" w:eastAsia="Arial" w:hAnsi="Arial" w:cs="Arial"/>
          <w:color w:val="010000"/>
          <w:sz w:val="20"/>
          <w:szCs w:val="20"/>
        </w:rPr>
      </w:pPr>
      <w:r>
        <w:rPr>
          <w:rFonts w:ascii="Arial" w:hAnsi="Arial"/>
          <w:color w:val="010000"/>
          <w:sz w:val="20"/>
        </w:rPr>
        <w:t xml:space="preserve">Article 11: Approve to </w:t>
      </w:r>
      <w:bookmarkStart w:id="0" w:name="_GoBack"/>
      <w:r>
        <w:rPr>
          <w:rFonts w:ascii="Arial" w:hAnsi="Arial"/>
          <w:color w:val="010000"/>
          <w:sz w:val="20"/>
        </w:rPr>
        <w:t>defer</w:t>
      </w:r>
      <w:bookmarkEnd w:id="0"/>
      <w:r>
        <w:rPr>
          <w:rFonts w:ascii="Arial" w:hAnsi="Arial"/>
          <w:color w:val="010000"/>
          <w:sz w:val="20"/>
        </w:rPr>
        <w:t xml:space="preserve"> the election for additional members to the Board of Directors and to re-elect the Board of Managers until the end of the term 2021-2025.</w:t>
      </w:r>
    </w:p>
    <w:p w14:paraId="00000016" w14:textId="77777777" w:rsidR="00F13457" w:rsidRPr="0091379E" w:rsidRDefault="0091379E" w:rsidP="00960F4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in full by the Annual General Meeting of Shareholders 2024 of Construction and Infrastructure Development JSC at the meeting. This General Mandate shall take effect within 3 days upon its approval, and any other changes to this General Mandate shall require </w:t>
      </w:r>
      <w:r>
        <w:rPr>
          <w:rFonts w:ascii="Arial" w:hAnsi="Arial"/>
          <w:color w:val="010000"/>
          <w:sz w:val="20"/>
        </w:rPr>
        <w:lastRenderedPageBreak/>
        <w:t>approval by the General Meeting of Shareholders.</w:t>
      </w:r>
    </w:p>
    <w:sectPr w:rsidR="00F13457" w:rsidRPr="0091379E" w:rsidSect="0091379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Arial"/>
    <w:charset w:val="00"/>
    <w:family w:val="swiss"/>
    <w:pitch w:val="variable"/>
    <w:sig w:usb0="00000001" w:usb1="00000003" w:usb2="00000000" w:usb3="00000000" w:csb0="0000019F" w:csb1="00000000"/>
  </w:font>
  <w:font w:name="等线">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7E3F"/>
    <w:multiLevelType w:val="multilevel"/>
    <w:tmpl w:val="F0267E2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D56423"/>
    <w:multiLevelType w:val="multilevel"/>
    <w:tmpl w:val="D0B2C9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08767CA"/>
    <w:multiLevelType w:val="multilevel"/>
    <w:tmpl w:val="E1F4F1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57"/>
    <w:rsid w:val="0055141B"/>
    <w:rsid w:val="00564053"/>
    <w:rsid w:val="0091379E"/>
    <w:rsid w:val="00960F48"/>
    <w:rsid w:val="00F13457"/>
    <w:rsid w:val="00FB3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563AF"/>
  <w15:docId w15:val="{8135182F-2EA5-4909-9704-F9577F79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32"/>
      <w:szCs w:val="3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2"/>
      <w:szCs w:val="4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F151D"/>
      <w:sz w:val="9"/>
      <w:szCs w:val="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151D"/>
      <w:sz w:val="16"/>
      <w:szCs w:val="16"/>
      <w:u w:val="none"/>
    </w:rPr>
  </w:style>
  <w:style w:type="paragraph" w:customStyle="1" w:styleId="Bodytext20">
    <w:name w:val="Body text (2)"/>
    <w:basedOn w:val="Normal"/>
    <w:link w:val="Bodytext2"/>
    <w:pPr>
      <w:spacing w:line="257" w:lineRule="auto"/>
      <w:ind w:left="1800" w:hanging="670"/>
    </w:pPr>
    <w:rPr>
      <w:rFonts w:ascii="Times New Roman" w:eastAsia="Times New Roman" w:hAnsi="Times New Roman" w:cs="Times New Roman"/>
    </w:rPr>
  </w:style>
  <w:style w:type="paragraph" w:customStyle="1" w:styleId="Heading21">
    <w:name w:val="Heading #2"/>
    <w:basedOn w:val="Normal"/>
    <w:link w:val="Heading20"/>
    <w:pPr>
      <w:spacing w:line="223" w:lineRule="auto"/>
      <w:jc w:val="center"/>
      <w:outlineLvl w:val="1"/>
    </w:pPr>
    <w:rPr>
      <w:rFonts w:ascii="Times New Roman" w:eastAsia="Times New Roman" w:hAnsi="Times New Roman" w:cs="Times New Roman"/>
      <w:sz w:val="32"/>
      <w:szCs w:val="3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2"/>
      <w:szCs w:val="42"/>
    </w:rPr>
  </w:style>
  <w:style w:type="paragraph" w:styleId="BodyText">
    <w:name w:val="Body Text"/>
    <w:basedOn w:val="Normal"/>
    <w:link w:val="BodyTextChar"/>
    <w:qFormat/>
    <w:pPr>
      <w:spacing w:line="286" w:lineRule="auto"/>
      <w:ind w:firstLine="20"/>
    </w:pPr>
    <w:rPr>
      <w:rFonts w:ascii="Times New Roman" w:eastAsia="Times New Roman" w:hAnsi="Times New Roman" w:cs="Times New Roman"/>
      <w:sz w:val="28"/>
      <w:szCs w:val="28"/>
    </w:rPr>
  </w:style>
  <w:style w:type="paragraph" w:customStyle="1" w:styleId="Bodytext40">
    <w:name w:val="Body text (4)"/>
    <w:basedOn w:val="Normal"/>
    <w:link w:val="Bodytext4"/>
    <w:rPr>
      <w:rFonts w:ascii="Arial" w:eastAsia="Arial" w:hAnsi="Arial" w:cs="Arial"/>
      <w:color w:val="FF151D"/>
      <w:sz w:val="9"/>
      <w:szCs w:val="9"/>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151D"/>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EUxmrLvnlbjZKvp/EHnOCM3ToA==">CgMxLjA4AHIhMURCeHA3cFUwOGJrVzd1Yl9XeUFIOUsxcUxzYTgzNGx3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1944</Characters>
  <Application>Microsoft Office Word</Application>
  <DocSecurity>0</DocSecurity>
  <Lines>34</Lines>
  <Paragraphs>21</Paragraphs>
  <ScaleCrop>false</ScaleCrop>
  <Company>Microsoft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2024-05-07T03:59:00Z</dcterms:created>
  <dcterms:modified xsi:type="dcterms:W3CDTF">2024-05-08T09:03:00Z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18fd010dcf9af321df7027b174a82ae627e78e901f941c2bce379e22b7ed1ad5</vt:lpwstr>
  </property>
</Properties>
</file>