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519EE" w14:textId="77777777" w:rsidR="00B34B04" w:rsidRPr="008139DD" w:rsidRDefault="00611E6C" w:rsidP="008139DD">
      <w:pPr>
        <w:pBdr>
          <w:top w:val="nil"/>
          <w:left w:val="nil"/>
          <w:bottom w:val="nil"/>
          <w:right w:val="nil"/>
          <w:between w:val="nil"/>
        </w:pBdr>
        <w:tabs>
          <w:tab w:val="left" w:pos="270"/>
          <w:tab w:val="left" w:pos="4838"/>
        </w:tabs>
        <w:spacing w:after="120" w:line="360" w:lineRule="auto"/>
        <w:jc w:val="both"/>
        <w:rPr>
          <w:rFonts w:ascii="Arial" w:eastAsia="Arial" w:hAnsi="Arial" w:cs="Arial"/>
          <w:b/>
          <w:color w:val="010000"/>
          <w:sz w:val="20"/>
          <w:szCs w:val="20"/>
        </w:rPr>
      </w:pPr>
      <w:r w:rsidRPr="008139DD">
        <w:rPr>
          <w:rFonts w:ascii="Arial" w:hAnsi="Arial" w:cs="Arial"/>
          <w:b/>
          <w:color w:val="010000"/>
          <w:sz w:val="20"/>
          <w:szCs w:val="20"/>
        </w:rPr>
        <w:t>CIP: Annual General Mandate 2024</w:t>
      </w:r>
    </w:p>
    <w:p w14:paraId="39708D9D" w14:textId="77777777" w:rsidR="00B34B04" w:rsidRPr="008139DD" w:rsidRDefault="00611E6C" w:rsidP="008139DD">
      <w:pPr>
        <w:pBdr>
          <w:top w:val="nil"/>
          <w:left w:val="nil"/>
          <w:bottom w:val="nil"/>
          <w:right w:val="nil"/>
          <w:between w:val="nil"/>
        </w:pBdr>
        <w:tabs>
          <w:tab w:val="left" w:pos="270"/>
          <w:tab w:val="left" w:pos="4838"/>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On April 26, 2024, Construction And Industrial Production Joint Stock Company announced the following General Mandate:</w:t>
      </w:r>
    </w:p>
    <w:p w14:paraId="2DF584D2"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Article 1: Approve the Report on production and business results in 2023.</w:t>
      </w:r>
    </w:p>
    <w:p w14:paraId="3EF53C63" w14:textId="77777777" w:rsidR="00B34B04" w:rsidRPr="008139DD" w:rsidRDefault="00611E6C" w:rsidP="008139DD">
      <w:pPr>
        <w:numPr>
          <w:ilvl w:val="0"/>
          <w:numId w:val="1"/>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8139DD">
        <w:rPr>
          <w:rFonts w:ascii="Arial" w:hAnsi="Arial" w:cs="Arial"/>
          <w:color w:val="010000"/>
          <w:sz w:val="20"/>
          <w:szCs w:val="20"/>
        </w:rPr>
        <w:t xml:space="preserve"> Main targets: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9"/>
        <w:gridCol w:w="2810"/>
        <w:gridCol w:w="1009"/>
        <w:gridCol w:w="1153"/>
        <w:gridCol w:w="910"/>
        <w:gridCol w:w="1256"/>
        <w:gridCol w:w="1370"/>
      </w:tblGrid>
      <w:tr w:rsidR="00B34B04" w:rsidRPr="008139DD" w14:paraId="7AC40575" w14:textId="77777777" w:rsidTr="00611E6C">
        <w:tc>
          <w:tcPr>
            <w:tcW w:w="287" w:type="pct"/>
            <w:shd w:val="clear" w:color="auto" w:fill="auto"/>
            <w:tcMar>
              <w:top w:w="0" w:type="dxa"/>
              <w:bottom w:w="0" w:type="dxa"/>
            </w:tcMar>
            <w:vAlign w:val="center"/>
          </w:tcPr>
          <w:p w14:paraId="611A8279"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No.</w:t>
            </w:r>
          </w:p>
        </w:tc>
        <w:tc>
          <w:tcPr>
            <w:tcW w:w="1563" w:type="pct"/>
            <w:shd w:val="clear" w:color="auto" w:fill="auto"/>
            <w:tcMar>
              <w:top w:w="0" w:type="dxa"/>
              <w:bottom w:w="0" w:type="dxa"/>
            </w:tcMar>
            <w:vAlign w:val="center"/>
          </w:tcPr>
          <w:p w14:paraId="510C33FF"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Target</w:t>
            </w:r>
          </w:p>
        </w:tc>
        <w:tc>
          <w:tcPr>
            <w:tcW w:w="564" w:type="pct"/>
            <w:shd w:val="clear" w:color="auto" w:fill="auto"/>
            <w:tcMar>
              <w:top w:w="0" w:type="dxa"/>
              <w:bottom w:w="0" w:type="dxa"/>
            </w:tcMar>
            <w:vAlign w:val="center"/>
          </w:tcPr>
          <w:p w14:paraId="5C33A7E2"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Unit</w:t>
            </w:r>
          </w:p>
        </w:tc>
        <w:tc>
          <w:tcPr>
            <w:tcW w:w="644" w:type="pct"/>
            <w:shd w:val="clear" w:color="auto" w:fill="auto"/>
            <w:tcMar>
              <w:top w:w="0" w:type="dxa"/>
              <w:bottom w:w="0" w:type="dxa"/>
            </w:tcMar>
            <w:vAlign w:val="center"/>
          </w:tcPr>
          <w:p w14:paraId="44BC78AB"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Plan in 2023</w:t>
            </w:r>
          </w:p>
        </w:tc>
        <w:tc>
          <w:tcPr>
            <w:tcW w:w="476" w:type="pct"/>
            <w:shd w:val="clear" w:color="auto" w:fill="auto"/>
            <w:tcMar>
              <w:top w:w="0" w:type="dxa"/>
              <w:bottom w:w="0" w:type="dxa"/>
            </w:tcMar>
            <w:vAlign w:val="center"/>
          </w:tcPr>
          <w:p w14:paraId="0D6E23B9"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Result 2023</w:t>
            </w:r>
          </w:p>
        </w:tc>
        <w:tc>
          <w:tcPr>
            <w:tcW w:w="701" w:type="pct"/>
            <w:shd w:val="clear" w:color="auto" w:fill="auto"/>
            <w:tcMar>
              <w:top w:w="0" w:type="dxa"/>
              <w:bottom w:w="0" w:type="dxa"/>
            </w:tcMar>
            <w:vAlign w:val="center"/>
          </w:tcPr>
          <w:p w14:paraId="555D1D63"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Results/Plan (%)</w:t>
            </w:r>
          </w:p>
        </w:tc>
        <w:tc>
          <w:tcPr>
            <w:tcW w:w="764" w:type="pct"/>
            <w:shd w:val="clear" w:color="auto" w:fill="auto"/>
            <w:tcMar>
              <w:top w:w="0" w:type="dxa"/>
              <w:bottom w:w="0" w:type="dxa"/>
            </w:tcMar>
            <w:vAlign w:val="center"/>
          </w:tcPr>
          <w:p w14:paraId="703D4D1B"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Note</w:t>
            </w:r>
          </w:p>
        </w:tc>
      </w:tr>
      <w:tr w:rsidR="00B34B04" w:rsidRPr="008139DD" w14:paraId="7AE9432C" w14:textId="77777777" w:rsidTr="00611E6C">
        <w:tc>
          <w:tcPr>
            <w:tcW w:w="287" w:type="pct"/>
            <w:shd w:val="clear" w:color="auto" w:fill="auto"/>
            <w:tcMar>
              <w:top w:w="0" w:type="dxa"/>
              <w:bottom w:w="0" w:type="dxa"/>
            </w:tcMar>
            <w:vAlign w:val="center"/>
          </w:tcPr>
          <w:p w14:paraId="4D12550F"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1</w:t>
            </w:r>
          </w:p>
        </w:tc>
        <w:tc>
          <w:tcPr>
            <w:tcW w:w="1563" w:type="pct"/>
            <w:shd w:val="clear" w:color="auto" w:fill="auto"/>
            <w:tcMar>
              <w:top w:w="0" w:type="dxa"/>
              <w:bottom w:w="0" w:type="dxa"/>
            </w:tcMar>
            <w:vAlign w:val="center"/>
          </w:tcPr>
          <w:p w14:paraId="53560E85"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Total revenue</w:t>
            </w:r>
          </w:p>
        </w:tc>
        <w:tc>
          <w:tcPr>
            <w:tcW w:w="564" w:type="pct"/>
            <w:shd w:val="clear" w:color="auto" w:fill="auto"/>
            <w:tcMar>
              <w:top w:w="0" w:type="dxa"/>
              <w:bottom w:w="0" w:type="dxa"/>
            </w:tcMar>
            <w:vAlign w:val="center"/>
          </w:tcPr>
          <w:p w14:paraId="2777D7A3"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Million VND</w:t>
            </w:r>
          </w:p>
        </w:tc>
        <w:tc>
          <w:tcPr>
            <w:tcW w:w="644" w:type="pct"/>
            <w:shd w:val="clear" w:color="auto" w:fill="auto"/>
            <w:tcMar>
              <w:top w:w="0" w:type="dxa"/>
              <w:bottom w:w="0" w:type="dxa"/>
            </w:tcMar>
            <w:vAlign w:val="center"/>
          </w:tcPr>
          <w:p w14:paraId="3B986174"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250,390</w:t>
            </w:r>
          </w:p>
        </w:tc>
        <w:tc>
          <w:tcPr>
            <w:tcW w:w="476" w:type="pct"/>
            <w:shd w:val="clear" w:color="auto" w:fill="auto"/>
            <w:tcMar>
              <w:top w:w="0" w:type="dxa"/>
              <w:bottom w:w="0" w:type="dxa"/>
            </w:tcMar>
            <w:vAlign w:val="center"/>
          </w:tcPr>
          <w:p w14:paraId="5FDF85CA"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50,444</w:t>
            </w:r>
          </w:p>
        </w:tc>
        <w:tc>
          <w:tcPr>
            <w:tcW w:w="701" w:type="pct"/>
            <w:shd w:val="clear" w:color="auto" w:fill="auto"/>
            <w:tcMar>
              <w:top w:w="0" w:type="dxa"/>
              <w:bottom w:w="0" w:type="dxa"/>
            </w:tcMar>
            <w:vAlign w:val="center"/>
          </w:tcPr>
          <w:p w14:paraId="1D1C90BE"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20.1</w:t>
            </w:r>
          </w:p>
        </w:tc>
        <w:tc>
          <w:tcPr>
            <w:tcW w:w="764" w:type="pct"/>
            <w:shd w:val="clear" w:color="auto" w:fill="auto"/>
            <w:tcMar>
              <w:top w:w="0" w:type="dxa"/>
              <w:bottom w:w="0" w:type="dxa"/>
            </w:tcMar>
            <w:vAlign w:val="center"/>
          </w:tcPr>
          <w:p w14:paraId="6BE99440"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r w:rsidR="00B34B04" w:rsidRPr="008139DD" w14:paraId="67DCBEF5" w14:textId="77777777" w:rsidTr="00611E6C">
        <w:tc>
          <w:tcPr>
            <w:tcW w:w="287" w:type="pct"/>
            <w:shd w:val="clear" w:color="auto" w:fill="auto"/>
            <w:tcMar>
              <w:top w:w="0" w:type="dxa"/>
              <w:bottom w:w="0" w:type="dxa"/>
            </w:tcMar>
            <w:vAlign w:val="center"/>
          </w:tcPr>
          <w:p w14:paraId="61C2ECCA" w14:textId="77777777" w:rsidR="00B34B04" w:rsidRPr="008139DD" w:rsidRDefault="00B34B04" w:rsidP="008139DD">
            <w:pPr>
              <w:tabs>
                <w:tab w:val="left" w:pos="270"/>
              </w:tabs>
              <w:spacing w:after="120" w:line="360" w:lineRule="auto"/>
              <w:jc w:val="both"/>
              <w:rPr>
                <w:rFonts w:ascii="Arial" w:eastAsia="Arial" w:hAnsi="Arial" w:cs="Arial"/>
                <w:color w:val="010000"/>
                <w:sz w:val="20"/>
                <w:szCs w:val="20"/>
              </w:rPr>
            </w:pPr>
          </w:p>
        </w:tc>
        <w:tc>
          <w:tcPr>
            <w:tcW w:w="1563" w:type="pct"/>
            <w:shd w:val="clear" w:color="auto" w:fill="auto"/>
            <w:tcMar>
              <w:top w:w="0" w:type="dxa"/>
              <w:bottom w:w="0" w:type="dxa"/>
            </w:tcMar>
            <w:vAlign w:val="center"/>
          </w:tcPr>
          <w:p w14:paraId="0E02DA53" w14:textId="77777777" w:rsidR="00B34B04" w:rsidRPr="008139DD" w:rsidRDefault="00611E6C" w:rsidP="008139DD">
            <w:pPr>
              <w:pStyle w:val="ListParagraph"/>
              <w:numPr>
                <w:ilvl w:val="0"/>
                <w:numId w:val="6"/>
              </w:numPr>
              <w:pBdr>
                <w:top w:val="nil"/>
                <w:left w:val="nil"/>
                <w:bottom w:val="nil"/>
                <w:right w:val="nil"/>
                <w:between w:val="nil"/>
              </w:pBdr>
              <w:tabs>
                <w:tab w:val="left" w:pos="270"/>
              </w:tabs>
              <w:spacing w:after="120" w:line="360" w:lineRule="auto"/>
              <w:ind w:left="0" w:firstLine="0"/>
              <w:contextualSpacing w:val="0"/>
              <w:jc w:val="both"/>
              <w:rPr>
                <w:rFonts w:ascii="Arial" w:eastAsia="Arial" w:hAnsi="Arial" w:cs="Arial"/>
                <w:color w:val="010000"/>
                <w:sz w:val="20"/>
                <w:szCs w:val="20"/>
              </w:rPr>
            </w:pPr>
            <w:r w:rsidRPr="008139DD">
              <w:rPr>
                <w:rFonts w:ascii="Arial" w:hAnsi="Arial" w:cs="Arial"/>
                <w:color w:val="010000"/>
                <w:sz w:val="20"/>
                <w:szCs w:val="20"/>
              </w:rPr>
              <w:t>Production and business revenue</w:t>
            </w:r>
          </w:p>
        </w:tc>
        <w:tc>
          <w:tcPr>
            <w:tcW w:w="564" w:type="pct"/>
            <w:shd w:val="clear" w:color="auto" w:fill="auto"/>
            <w:tcMar>
              <w:top w:w="0" w:type="dxa"/>
              <w:bottom w:w="0" w:type="dxa"/>
            </w:tcMar>
            <w:vAlign w:val="center"/>
          </w:tcPr>
          <w:p w14:paraId="1E7E6CEF"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Same as above</w:t>
            </w:r>
          </w:p>
        </w:tc>
        <w:tc>
          <w:tcPr>
            <w:tcW w:w="644" w:type="pct"/>
            <w:shd w:val="clear" w:color="auto" w:fill="auto"/>
            <w:tcMar>
              <w:top w:w="0" w:type="dxa"/>
              <w:bottom w:w="0" w:type="dxa"/>
            </w:tcMar>
            <w:vAlign w:val="center"/>
          </w:tcPr>
          <w:p w14:paraId="7325CAF0"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247,406</w:t>
            </w:r>
          </w:p>
        </w:tc>
        <w:tc>
          <w:tcPr>
            <w:tcW w:w="476" w:type="pct"/>
            <w:shd w:val="clear" w:color="auto" w:fill="auto"/>
            <w:tcMar>
              <w:top w:w="0" w:type="dxa"/>
              <w:bottom w:w="0" w:type="dxa"/>
            </w:tcMar>
            <w:vAlign w:val="center"/>
          </w:tcPr>
          <w:p w14:paraId="0BE74949"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43,968</w:t>
            </w:r>
          </w:p>
        </w:tc>
        <w:tc>
          <w:tcPr>
            <w:tcW w:w="701" w:type="pct"/>
            <w:shd w:val="clear" w:color="auto" w:fill="auto"/>
            <w:tcMar>
              <w:top w:w="0" w:type="dxa"/>
              <w:bottom w:w="0" w:type="dxa"/>
            </w:tcMar>
            <w:vAlign w:val="center"/>
          </w:tcPr>
          <w:p w14:paraId="42F31ECE"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c>
          <w:tcPr>
            <w:tcW w:w="764" w:type="pct"/>
            <w:shd w:val="clear" w:color="auto" w:fill="auto"/>
            <w:tcMar>
              <w:top w:w="0" w:type="dxa"/>
              <w:bottom w:w="0" w:type="dxa"/>
            </w:tcMar>
            <w:vAlign w:val="center"/>
          </w:tcPr>
          <w:p w14:paraId="03F1A1E7"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r w:rsidR="00B34B04" w:rsidRPr="008139DD" w14:paraId="6F69DF97" w14:textId="77777777" w:rsidTr="00611E6C">
        <w:tc>
          <w:tcPr>
            <w:tcW w:w="287" w:type="pct"/>
            <w:shd w:val="clear" w:color="auto" w:fill="auto"/>
            <w:tcMar>
              <w:top w:w="0" w:type="dxa"/>
              <w:bottom w:w="0" w:type="dxa"/>
            </w:tcMar>
            <w:vAlign w:val="center"/>
          </w:tcPr>
          <w:p w14:paraId="1A96A502" w14:textId="77777777" w:rsidR="00B34B04" w:rsidRPr="008139DD" w:rsidRDefault="00B34B04" w:rsidP="008139DD">
            <w:pPr>
              <w:tabs>
                <w:tab w:val="left" w:pos="270"/>
              </w:tabs>
              <w:spacing w:after="120" w:line="360" w:lineRule="auto"/>
              <w:jc w:val="both"/>
              <w:rPr>
                <w:rFonts w:ascii="Arial" w:eastAsia="Arial" w:hAnsi="Arial" w:cs="Arial"/>
                <w:color w:val="010000"/>
                <w:sz w:val="20"/>
                <w:szCs w:val="20"/>
              </w:rPr>
            </w:pPr>
          </w:p>
        </w:tc>
        <w:tc>
          <w:tcPr>
            <w:tcW w:w="1563" w:type="pct"/>
            <w:shd w:val="clear" w:color="auto" w:fill="auto"/>
            <w:tcMar>
              <w:top w:w="0" w:type="dxa"/>
              <w:bottom w:w="0" w:type="dxa"/>
            </w:tcMar>
            <w:vAlign w:val="center"/>
          </w:tcPr>
          <w:p w14:paraId="2044F5B3" w14:textId="77777777" w:rsidR="00B34B04" w:rsidRPr="008139DD" w:rsidRDefault="00611E6C" w:rsidP="008139DD">
            <w:pPr>
              <w:pStyle w:val="ListParagraph"/>
              <w:numPr>
                <w:ilvl w:val="0"/>
                <w:numId w:val="6"/>
              </w:numPr>
              <w:pBdr>
                <w:top w:val="nil"/>
                <w:left w:val="nil"/>
                <w:bottom w:val="nil"/>
                <w:right w:val="nil"/>
                <w:between w:val="nil"/>
              </w:pBdr>
              <w:tabs>
                <w:tab w:val="left" w:pos="270"/>
              </w:tabs>
              <w:spacing w:after="120" w:line="360" w:lineRule="auto"/>
              <w:ind w:left="0" w:firstLine="0"/>
              <w:contextualSpacing w:val="0"/>
              <w:jc w:val="both"/>
              <w:rPr>
                <w:rFonts w:ascii="Arial" w:eastAsia="Arial" w:hAnsi="Arial" w:cs="Arial"/>
                <w:color w:val="010000"/>
                <w:sz w:val="20"/>
                <w:szCs w:val="20"/>
              </w:rPr>
            </w:pPr>
            <w:r w:rsidRPr="008139DD">
              <w:rPr>
                <w:rFonts w:ascii="Arial" w:hAnsi="Arial" w:cs="Arial"/>
                <w:color w:val="010000"/>
                <w:sz w:val="20"/>
                <w:szCs w:val="20"/>
              </w:rPr>
              <w:t>Other business</w:t>
            </w:r>
          </w:p>
        </w:tc>
        <w:tc>
          <w:tcPr>
            <w:tcW w:w="564" w:type="pct"/>
            <w:shd w:val="clear" w:color="auto" w:fill="auto"/>
            <w:tcMar>
              <w:top w:w="0" w:type="dxa"/>
              <w:bottom w:w="0" w:type="dxa"/>
            </w:tcMar>
            <w:vAlign w:val="center"/>
          </w:tcPr>
          <w:p w14:paraId="1092A1CE"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Same as above</w:t>
            </w:r>
          </w:p>
        </w:tc>
        <w:tc>
          <w:tcPr>
            <w:tcW w:w="644" w:type="pct"/>
            <w:shd w:val="clear" w:color="auto" w:fill="auto"/>
            <w:tcMar>
              <w:top w:w="0" w:type="dxa"/>
              <w:bottom w:w="0" w:type="dxa"/>
            </w:tcMar>
            <w:vAlign w:val="center"/>
          </w:tcPr>
          <w:p w14:paraId="64562424"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2,984</w:t>
            </w:r>
          </w:p>
        </w:tc>
        <w:tc>
          <w:tcPr>
            <w:tcW w:w="476" w:type="pct"/>
            <w:shd w:val="clear" w:color="auto" w:fill="auto"/>
            <w:tcMar>
              <w:top w:w="0" w:type="dxa"/>
              <w:bottom w:w="0" w:type="dxa"/>
            </w:tcMar>
            <w:vAlign w:val="center"/>
          </w:tcPr>
          <w:p w14:paraId="57B55DC8"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6,476</w:t>
            </w:r>
          </w:p>
        </w:tc>
        <w:tc>
          <w:tcPr>
            <w:tcW w:w="701" w:type="pct"/>
            <w:shd w:val="clear" w:color="auto" w:fill="auto"/>
            <w:tcMar>
              <w:top w:w="0" w:type="dxa"/>
              <w:bottom w:w="0" w:type="dxa"/>
            </w:tcMar>
            <w:vAlign w:val="center"/>
          </w:tcPr>
          <w:p w14:paraId="63DBA04A"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c>
          <w:tcPr>
            <w:tcW w:w="764" w:type="pct"/>
            <w:shd w:val="clear" w:color="auto" w:fill="auto"/>
            <w:tcMar>
              <w:top w:w="0" w:type="dxa"/>
              <w:bottom w:w="0" w:type="dxa"/>
            </w:tcMar>
            <w:vAlign w:val="center"/>
          </w:tcPr>
          <w:p w14:paraId="7BA12087"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r w:rsidR="00B34B04" w:rsidRPr="008139DD" w14:paraId="75B24C65" w14:textId="77777777" w:rsidTr="00611E6C">
        <w:tc>
          <w:tcPr>
            <w:tcW w:w="287" w:type="pct"/>
            <w:shd w:val="clear" w:color="auto" w:fill="auto"/>
            <w:tcMar>
              <w:top w:w="0" w:type="dxa"/>
              <w:bottom w:w="0" w:type="dxa"/>
            </w:tcMar>
            <w:vAlign w:val="center"/>
          </w:tcPr>
          <w:p w14:paraId="4BB38A22"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2</w:t>
            </w:r>
          </w:p>
        </w:tc>
        <w:tc>
          <w:tcPr>
            <w:tcW w:w="1563" w:type="pct"/>
            <w:shd w:val="clear" w:color="auto" w:fill="auto"/>
            <w:tcMar>
              <w:top w:w="0" w:type="dxa"/>
              <w:bottom w:w="0" w:type="dxa"/>
            </w:tcMar>
            <w:vAlign w:val="center"/>
          </w:tcPr>
          <w:p w14:paraId="41C711F1"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Profit before tax(*)</w:t>
            </w:r>
          </w:p>
        </w:tc>
        <w:tc>
          <w:tcPr>
            <w:tcW w:w="564" w:type="pct"/>
            <w:shd w:val="clear" w:color="auto" w:fill="auto"/>
            <w:tcMar>
              <w:top w:w="0" w:type="dxa"/>
              <w:bottom w:w="0" w:type="dxa"/>
            </w:tcMar>
            <w:vAlign w:val="center"/>
          </w:tcPr>
          <w:p w14:paraId="0D08315B"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Million VND</w:t>
            </w:r>
          </w:p>
        </w:tc>
        <w:tc>
          <w:tcPr>
            <w:tcW w:w="644" w:type="pct"/>
            <w:shd w:val="clear" w:color="auto" w:fill="auto"/>
            <w:tcMar>
              <w:top w:w="0" w:type="dxa"/>
              <w:bottom w:w="0" w:type="dxa"/>
            </w:tcMar>
            <w:vAlign w:val="center"/>
          </w:tcPr>
          <w:p w14:paraId="0E5A2BA1"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557</w:t>
            </w:r>
          </w:p>
        </w:tc>
        <w:tc>
          <w:tcPr>
            <w:tcW w:w="476" w:type="pct"/>
            <w:shd w:val="clear" w:color="auto" w:fill="auto"/>
            <w:tcMar>
              <w:top w:w="0" w:type="dxa"/>
              <w:bottom w:w="0" w:type="dxa"/>
            </w:tcMar>
            <w:vAlign w:val="center"/>
          </w:tcPr>
          <w:p w14:paraId="3448827A"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133</w:t>
            </w:r>
          </w:p>
        </w:tc>
        <w:tc>
          <w:tcPr>
            <w:tcW w:w="701" w:type="pct"/>
            <w:shd w:val="clear" w:color="auto" w:fill="auto"/>
            <w:tcMar>
              <w:top w:w="0" w:type="dxa"/>
              <w:bottom w:w="0" w:type="dxa"/>
            </w:tcMar>
            <w:vAlign w:val="center"/>
          </w:tcPr>
          <w:p w14:paraId="5CC244A1"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23.9</w:t>
            </w:r>
          </w:p>
        </w:tc>
        <w:tc>
          <w:tcPr>
            <w:tcW w:w="764" w:type="pct"/>
            <w:shd w:val="clear" w:color="auto" w:fill="auto"/>
            <w:tcMar>
              <w:top w:w="0" w:type="dxa"/>
              <w:bottom w:w="0" w:type="dxa"/>
            </w:tcMar>
            <w:vAlign w:val="center"/>
          </w:tcPr>
          <w:p w14:paraId="23CFCB2D"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r w:rsidR="00B34B04" w:rsidRPr="008139DD" w14:paraId="47897C3E" w14:textId="77777777" w:rsidTr="00611E6C">
        <w:tc>
          <w:tcPr>
            <w:tcW w:w="287" w:type="pct"/>
            <w:shd w:val="clear" w:color="auto" w:fill="auto"/>
            <w:tcMar>
              <w:top w:w="0" w:type="dxa"/>
              <w:bottom w:w="0" w:type="dxa"/>
            </w:tcMar>
            <w:vAlign w:val="center"/>
          </w:tcPr>
          <w:p w14:paraId="5429B0BB"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3</w:t>
            </w:r>
          </w:p>
        </w:tc>
        <w:tc>
          <w:tcPr>
            <w:tcW w:w="1563" w:type="pct"/>
            <w:shd w:val="clear" w:color="auto" w:fill="auto"/>
            <w:tcMar>
              <w:top w:w="0" w:type="dxa"/>
              <w:bottom w:w="0" w:type="dxa"/>
            </w:tcMar>
            <w:vAlign w:val="center"/>
          </w:tcPr>
          <w:p w14:paraId="5E6DE174"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Total salary fund</w:t>
            </w:r>
          </w:p>
        </w:tc>
        <w:tc>
          <w:tcPr>
            <w:tcW w:w="564" w:type="pct"/>
            <w:shd w:val="clear" w:color="auto" w:fill="auto"/>
            <w:tcMar>
              <w:top w:w="0" w:type="dxa"/>
              <w:bottom w:w="0" w:type="dxa"/>
            </w:tcMar>
            <w:vAlign w:val="center"/>
          </w:tcPr>
          <w:p w14:paraId="386F1215"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Million VND</w:t>
            </w:r>
          </w:p>
        </w:tc>
        <w:tc>
          <w:tcPr>
            <w:tcW w:w="644" w:type="pct"/>
            <w:shd w:val="clear" w:color="auto" w:fill="auto"/>
            <w:tcMar>
              <w:top w:w="0" w:type="dxa"/>
              <w:bottom w:w="0" w:type="dxa"/>
            </w:tcMar>
            <w:vAlign w:val="center"/>
          </w:tcPr>
          <w:p w14:paraId="18157B89"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3,182</w:t>
            </w:r>
          </w:p>
        </w:tc>
        <w:tc>
          <w:tcPr>
            <w:tcW w:w="476" w:type="pct"/>
            <w:shd w:val="clear" w:color="auto" w:fill="auto"/>
            <w:tcMar>
              <w:top w:w="0" w:type="dxa"/>
              <w:bottom w:w="0" w:type="dxa"/>
            </w:tcMar>
            <w:vAlign w:val="center"/>
          </w:tcPr>
          <w:p w14:paraId="0B30EA53"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2,088</w:t>
            </w:r>
          </w:p>
        </w:tc>
        <w:tc>
          <w:tcPr>
            <w:tcW w:w="701" w:type="pct"/>
            <w:shd w:val="clear" w:color="auto" w:fill="auto"/>
            <w:tcMar>
              <w:top w:w="0" w:type="dxa"/>
              <w:bottom w:w="0" w:type="dxa"/>
            </w:tcMar>
            <w:vAlign w:val="center"/>
          </w:tcPr>
          <w:p w14:paraId="6E9A246D"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c>
          <w:tcPr>
            <w:tcW w:w="764" w:type="pct"/>
            <w:shd w:val="clear" w:color="auto" w:fill="auto"/>
            <w:tcMar>
              <w:top w:w="0" w:type="dxa"/>
              <w:bottom w:w="0" w:type="dxa"/>
            </w:tcMar>
            <w:vAlign w:val="center"/>
          </w:tcPr>
          <w:p w14:paraId="2A74653B"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Includes Labor in the list</w:t>
            </w:r>
          </w:p>
          <w:p w14:paraId="4E5C572F"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Does not include remuneration of the Board of Directors and Supervisory Board. Secretary and project Management Board salary</w:t>
            </w:r>
          </w:p>
        </w:tc>
      </w:tr>
      <w:tr w:rsidR="00B34B04" w:rsidRPr="008139DD" w14:paraId="7BB71C0B" w14:textId="77777777" w:rsidTr="00611E6C">
        <w:tc>
          <w:tcPr>
            <w:tcW w:w="287" w:type="pct"/>
            <w:shd w:val="clear" w:color="auto" w:fill="auto"/>
            <w:tcMar>
              <w:top w:w="0" w:type="dxa"/>
              <w:bottom w:w="0" w:type="dxa"/>
            </w:tcMar>
            <w:vAlign w:val="center"/>
          </w:tcPr>
          <w:p w14:paraId="00702C05"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4</w:t>
            </w:r>
          </w:p>
        </w:tc>
        <w:tc>
          <w:tcPr>
            <w:tcW w:w="1563" w:type="pct"/>
            <w:shd w:val="clear" w:color="auto" w:fill="auto"/>
            <w:tcMar>
              <w:top w:w="0" w:type="dxa"/>
              <w:bottom w:w="0" w:type="dxa"/>
            </w:tcMar>
            <w:vAlign w:val="center"/>
          </w:tcPr>
          <w:p w14:paraId="6A5578F5"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Average salary (Labor in the list)</w:t>
            </w:r>
          </w:p>
        </w:tc>
        <w:tc>
          <w:tcPr>
            <w:tcW w:w="564" w:type="pct"/>
            <w:shd w:val="clear" w:color="auto" w:fill="auto"/>
            <w:tcMar>
              <w:top w:w="0" w:type="dxa"/>
              <w:bottom w:w="0" w:type="dxa"/>
            </w:tcMar>
            <w:vAlign w:val="center"/>
          </w:tcPr>
          <w:p w14:paraId="6C0E313C"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VND/ person/ month</w:t>
            </w:r>
          </w:p>
        </w:tc>
        <w:tc>
          <w:tcPr>
            <w:tcW w:w="644" w:type="pct"/>
            <w:shd w:val="clear" w:color="auto" w:fill="auto"/>
            <w:tcMar>
              <w:top w:w="0" w:type="dxa"/>
              <w:bottom w:w="0" w:type="dxa"/>
            </w:tcMar>
            <w:vAlign w:val="center"/>
          </w:tcPr>
          <w:p w14:paraId="7783B51E"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VND 11,300,000</w:t>
            </w:r>
          </w:p>
        </w:tc>
        <w:tc>
          <w:tcPr>
            <w:tcW w:w="476" w:type="pct"/>
            <w:shd w:val="clear" w:color="auto" w:fill="auto"/>
            <w:tcMar>
              <w:top w:w="0" w:type="dxa"/>
              <w:bottom w:w="0" w:type="dxa"/>
            </w:tcMar>
            <w:vAlign w:val="center"/>
          </w:tcPr>
          <w:p w14:paraId="12C83683"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8,700,000</w:t>
            </w:r>
          </w:p>
        </w:tc>
        <w:tc>
          <w:tcPr>
            <w:tcW w:w="701" w:type="pct"/>
            <w:shd w:val="clear" w:color="auto" w:fill="auto"/>
            <w:tcMar>
              <w:top w:w="0" w:type="dxa"/>
              <w:bottom w:w="0" w:type="dxa"/>
            </w:tcMar>
            <w:vAlign w:val="center"/>
          </w:tcPr>
          <w:p w14:paraId="25E007BF"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c>
          <w:tcPr>
            <w:tcW w:w="764" w:type="pct"/>
            <w:shd w:val="clear" w:color="auto" w:fill="auto"/>
            <w:tcMar>
              <w:top w:w="0" w:type="dxa"/>
              <w:bottom w:w="0" w:type="dxa"/>
            </w:tcMar>
            <w:vAlign w:val="center"/>
          </w:tcPr>
          <w:p w14:paraId="1E960128"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r w:rsidR="00B34B04" w:rsidRPr="008139DD" w14:paraId="38F765B5" w14:textId="77777777" w:rsidTr="00611E6C">
        <w:tc>
          <w:tcPr>
            <w:tcW w:w="287" w:type="pct"/>
            <w:shd w:val="clear" w:color="auto" w:fill="auto"/>
            <w:tcMar>
              <w:top w:w="0" w:type="dxa"/>
              <w:bottom w:w="0" w:type="dxa"/>
            </w:tcMar>
            <w:vAlign w:val="center"/>
          </w:tcPr>
          <w:p w14:paraId="3ABBBAE5"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5</w:t>
            </w:r>
          </w:p>
        </w:tc>
        <w:tc>
          <w:tcPr>
            <w:tcW w:w="1563" w:type="pct"/>
            <w:shd w:val="clear" w:color="auto" w:fill="auto"/>
            <w:tcMar>
              <w:top w:w="0" w:type="dxa"/>
              <w:bottom w:w="0" w:type="dxa"/>
            </w:tcMar>
            <w:vAlign w:val="center"/>
          </w:tcPr>
          <w:p w14:paraId="4EFDC86B"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Dividend payment</w:t>
            </w:r>
          </w:p>
        </w:tc>
        <w:tc>
          <w:tcPr>
            <w:tcW w:w="564" w:type="pct"/>
            <w:shd w:val="clear" w:color="auto" w:fill="auto"/>
            <w:tcMar>
              <w:top w:w="0" w:type="dxa"/>
              <w:bottom w:w="0" w:type="dxa"/>
            </w:tcMar>
            <w:vAlign w:val="center"/>
          </w:tcPr>
          <w:p w14:paraId="78FE99EB"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w:t>
            </w:r>
          </w:p>
        </w:tc>
        <w:tc>
          <w:tcPr>
            <w:tcW w:w="644" w:type="pct"/>
            <w:shd w:val="clear" w:color="auto" w:fill="auto"/>
            <w:tcMar>
              <w:top w:w="0" w:type="dxa"/>
              <w:bottom w:w="0" w:type="dxa"/>
            </w:tcMar>
            <w:vAlign w:val="center"/>
          </w:tcPr>
          <w:p w14:paraId="5A63BF89"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No dividend</w:t>
            </w:r>
          </w:p>
        </w:tc>
        <w:tc>
          <w:tcPr>
            <w:tcW w:w="476" w:type="pct"/>
            <w:shd w:val="clear" w:color="auto" w:fill="auto"/>
            <w:tcMar>
              <w:top w:w="0" w:type="dxa"/>
              <w:bottom w:w="0" w:type="dxa"/>
            </w:tcMar>
            <w:vAlign w:val="center"/>
          </w:tcPr>
          <w:p w14:paraId="3FB7CBA7"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No dividend</w:t>
            </w:r>
          </w:p>
        </w:tc>
        <w:tc>
          <w:tcPr>
            <w:tcW w:w="701" w:type="pct"/>
            <w:shd w:val="clear" w:color="auto" w:fill="auto"/>
            <w:tcMar>
              <w:top w:w="0" w:type="dxa"/>
              <w:bottom w:w="0" w:type="dxa"/>
            </w:tcMar>
            <w:vAlign w:val="center"/>
          </w:tcPr>
          <w:p w14:paraId="090C9A31"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c>
          <w:tcPr>
            <w:tcW w:w="764" w:type="pct"/>
            <w:shd w:val="clear" w:color="auto" w:fill="auto"/>
            <w:tcMar>
              <w:top w:w="0" w:type="dxa"/>
              <w:bottom w:w="0" w:type="dxa"/>
            </w:tcMar>
            <w:vAlign w:val="center"/>
          </w:tcPr>
          <w:p w14:paraId="4383F915"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bl>
    <w:p w14:paraId="0605AABF"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i/>
          <w:color w:val="010000"/>
          <w:sz w:val="20"/>
          <w:szCs w:val="20"/>
        </w:rPr>
      </w:pPr>
      <w:r w:rsidRPr="008139DD">
        <w:rPr>
          <w:rFonts w:ascii="Arial" w:hAnsi="Arial" w:cs="Arial"/>
          <w:i/>
          <w:color w:val="010000"/>
          <w:sz w:val="20"/>
          <w:szCs w:val="20"/>
        </w:rPr>
        <w:t>Notes:</w:t>
      </w:r>
    </w:p>
    <w:p w14:paraId="22741AA2" w14:textId="77777777" w:rsidR="00B34B04" w:rsidRPr="008139DD" w:rsidRDefault="00611E6C" w:rsidP="008139DD">
      <w:pPr>
        <w:numPr>
          <w:ilvl w:val="0"/>
          <w:numId w:val="3"/>
        </w:numPr>
        <w:pBdr>
          <w:top w:val="nil"/>
          <w:left w:val="nil"/>
          <w:bottom w:val="nil"/>
          <w:right w:val="nil"/>
          <w:between w:val="nil"/>
        </w:pBdr>
        <w:tabs>
          <w:tab w:val="left" w:pos="270"/>
        </w:tabs>
        <w:spacing w:after="120" w:line="360" w:lineRule="auto"/>
        <w:jc w:val="both"/>
        <w:rPr>
          <w:rFonts w:ascii="Arial" w:eastAsia="Arial" w:hAnsi="Arial" w:cs="Arial"/>
          <w:i/>
          <w:color w:val="010000"/>
          <w:sz w:val="20"/>
          <w:szCs w:val="20"/>
        </w:rPr>
      </w:pPr>
      <w:r w:rsidRPr="008139DD">
        <w:rPr>
          <w:rFonts w:ascii="Arial" w:hAnsi="Arial" w:cs="Arial"/>
          <w:i/>
          <w:color w:val="010000"/>
          <w:sz w:val="20"/>
          <w:szCs w:val="20"/>
        </w:rPr>
        <w:t xml:space="preserve"> Profits in 2023 do not include handling financial problems at projects.</w:t>
      </w:r>
    </w:p>
    <w:p w14:paraId="5B2E89FF" w14:textId="77777777" w:rsidR="00B34B04" w:rsidRPr="008139DD" w:rsidRDefault="00611E6C" w:rsidP="008139DD">
      <w:pPr>
        <w:numPr>
          <w:ilvl w:val="0"/>
          <w:numId w:val="3"/>
        </w:numPr>
        <w:pBdr>
          <w:top w:val="nil"/>
          <w:left w:val="nil"/>
          <w:bottom w:val="nil"/>
          <w:right w:val="nil"/>
          <w:between w:val="nil"/>
        </w:pBdr>
        <w:tabs>
          <w:tab w:val="left" w:pos="270"/>
          <w:tab w:val="left" w:pos="1087"/>
        </w:tabs>
        <w:spacing w:after="120" w:line="360" w:lineRule="auto"/>
        <w:jc w:val="both"/>
        <w:rPr>
          <w:rFonts w:ascii="Arial" w:eastAsia="Arial" w:hAnsi="Arial" w:cs="Arial"/>
          <w:i/>
          <w:color w:val="010000"/>
          <w:sz w:val="20"/>
          <w:szCs w:val="20"/>
        </w:rPr>
      </w:pPr>
      <w:r w:rsidRPr="008139DD">
        <w:rPr>
          <w:rFonts w:ascii="Arial" w:hAnsi="Arial" w:cs="Arial"/>
          <w:i/>
          <w:color w:val="010000"/>
          <w:sz w:val="20"/>
          <w:szCs w:val="20"/>
        </w:rPr>
        <w:lastRenderedPageBreak/>
        <w:t>Salary 2023 has been settled and included in eligible expenses.</w:t>
      </w:r>
    </w:p>
    <w:p w14:paraId="5750DD22" w14:textId="41EBD8CA" w:rsidR="00784442" w:rsidRPr="008139DD" w:rsidRDefault="00611E6C" w:rsidP="008139DD">
      <w:pPr>
        <w:numPr>
          <w:ilvl w:val="0"/>
          <w:numId w:val="1"/>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8139DD">
        <w:rPr>
          <w:rFonts w:ascii="Arial" w:hAnsi="Arial" w:cs="Arial"/>
          <w:color w:val="010000"/>
          <w:sz w:val="20"/>
          <w:szCs w:val="20"/>
        </w:rPr>
        <w:t xml:space="preserve"> Other contents in production and business activities in 2023  </w:t>
      </w:r>
    </w:p>
    <w:p w14:paraId="498F2B6F" w14:textId="2F23761B" w:rsidR="00784442"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 xml:space="preserve">Article 2: Approve the audited Financial Statement 2023. </w:t>
      </w:r>
    </w:p>
    <w:p w14:paraId="5DFFCFF0" w14:textId="2D8185E0" w:rsidR="00784442" w:rsidRPr="008139DD" w:rsidRDefault="00611E6C" w:rsidP="008139DD">
      <w:pPr>
        <w:pBdr>
          <w:top w:val="nil"/>
          <w:left w:val="nil"/>
          <w:bottom w:val="nil"/>
          <w:right w:val="nil"/>
          <w:between w:val="nil"/>
        </w:pBdr>
        <w:tabs>
          <w:tab w:val="left" w:pos="270"/>
        </w:tabs>
        <w:spacing w:after="120" w:line="360" w:lineRule="auto"/>
        <w:jc w:val="both"/>
        <w:rPr>
          <w:rFonts w:ascii="Arial" w:hAnsi="Arial" w:cs="Arial"/>
          <w:color w:val="010000"/>
          <w:sz w:val="20"/>
          <w:szCs w:val="20"/>
        </w:rPr>
      </w:pPr>
      <w:r w:rsidRPr="008139DD">
        <w:rPr>
          <w:rFonts w:ascii="Arial" w:hAnsi="Arial" w:cs="Arial"/>
          <w:color w:val="010000"/>
          <w:sz w:val="20"/>
          <w:szCs w:val="20"/>
        </w:rPr>
        <w:t xml:space="preserve">Article 3: Approve the Report of the Supervisory Board in 2023.  </w:t>
      </w:r>
    </w:p>
    <w:p w14:paraId="2370F0FA" w14:textId="08D795DA"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Article 4: Approve the Management Report 2023 and tasks in 2024</w:t>
      </w:r>
    </w:p>
    <w:p w14:paraId="3ED96B88"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Article 5: Approve the production and business plan 2024 and solutions of implementation:</w:t>
      </w:r>
    </w:p>
    <w:p w14:paraId="35FF098A" w14:textId="77777777" w:rsidR="00B34B04" w:rsidRPr="008139DD" w:rsidRDefault="00611E6C" w:rsidP="008139DD">
      <w:pPr>
        <w:numPr>
          <w:ilvl w:val="0"/>
          <w:numId w:val="2"/>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8139DD">
        <w:rPr>
          <w:rFonts w:ascii="Arial" w:hAnsi="Arial" w:cs="Arial"/>
          <w:color w:val="010000"/>
          <w:sz w:val="20"/>
          <w:szCs w:val="20"/>
        </w:rPr>
        <w:t xml:space="preserve"> Main targets: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5"/>
        <w:gridCol w:w="2802"/>
        <w:gridCol w:w="1300"/>
        <w:gridCol w:w="1490"/>
        <w:gridCol w:w="2900"/>
      </w:tblGrid>
      <w:tr w:rsidR="00B34B04" w:rsidRPr="008139DD" w14:paraId="56B765F4" w14:textId="77777777" w:rsidTr="00611E6C">
        <w:tc>
          <w:tcPr>
            <w:tcW w:w="291" w:type="pct"/>
            <w:shd w:val="clear" w:color="auto" w:fill="auto"/>
            <w:tcMar>
              <w:top w:w="0" w:type="dxa"/>
              <w:bottom w:w="0" w:type="dxa"/>
            </w:tcMar>
            <w:vAlign w:val="center"/>
          </w:tcPr>
          <w:p w14:paraId="141DB167"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b/>
                <w:color w:val="010000"/>
                <w:sz w:val="20"/>
                <w:szCs w:val="20"/>
              </w:rPr>
            </w:pPr>
            <w:r w:rsidRPr="008139DD">
              <w:rPr>
                <w:rFonts w:ascii="Arial" w:hAnsi="Arial" w:cs="Arial"/>
                <w:b/>
                <w:color w:val="010000"/>
                <w:sz w:val="20"/>
                <w:szCs w:val="20"/>
              </w:rPr>
              <w:t>No.</w:t>
            </w:r>
          </w:p>
        </w:tc>
        <w:tc>
          <w:tcPr>
            <w:tcW w:w="1554" w:type="pct"/>
            <w:shd w:val="clear" w:color="auto" w:fill="auto"/>
            <w:tcMar>
              <w:top w:w="0" w:type="dxa"/>
              <w:bottom w:w="0" w:type="dxa"/>
            </w:tcMar>
            <w:vAlign w:val="center"/>
          </w:tcPr>
          <w:p w14:paraId="522B6DB8"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b/>
                <w:color w:val="010000"/>
                <w:sz w:val="20"/>
                <w:szCs w:val="20"/>
              </w:rPr>
            </w:pPr>
            <w:r w:rsidRPr="008139DD">
              <w:rPr>
                <w:rFonts w:ascii="Arial" w:hAnsi="Arial" w:cs="Arial"/>
                <w:b/>
                <w:color w:val="010000"/>
                <w:sz w:val="20"/>
                <w:szCs w:val="20"/>
              </w:rPr>
              <w:t>Target</w:t>
            </w:r>
          </w:p>
        </w:tc>
        <w:tc>
          <w:tcPr>
            <w:tcW w:w="721" w:type="pct"/>
            <w:shd w:val="clear" w:color="auto" w:fill="auto"/>
            <w:tcMar>
              <w:top w:w="0" w:type="dxa"/>
              <w:bottom w:w="0" w:type="dxa"/>
            </w:tcMar>
            <w:vAlign w:val="center"/>
          </w:tcPr>
          <w:p w14:paraId="671D199D"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b/>
                <w:color w:val="010000"/>
                <w:sz w:val="20"/>
                <w:szCs w:val="20"/>
              </w:rPr>
            </w:pPr>
            <w:r w:rsidRPr="008139DD">
              <w:rPr>
                <w:rFonts w:ascii="Arial" w:hAnsi="Arial" w:cs="Arial"/>
                <w:b/>
                <w:color w:val="010000"/>
                <w:sz w:val="20"/>
                <w:szCs w:val="20"/>
              </w:rPr>
              <w:t>Unit</w:t>
            </w:r>
          </w:p>
        </w:tc>
        <w:tc>
          <w:tcPr>
            <w:tcW w:w="826" w:type="pct"/>
            <w:shd w:val="clear" w:color="auto" w:fill="auto"/>
            <w:tcMar>
              <w:top w:w="0" w:type="dxa"/>
              <w:bottom w:w="0" w:type="dxa"/>
            </w:tcMar>
            <w:vAlign w:val="center"/>
          </w:tcPr>
          <w:p w14:paraId="626C79D8"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b/>
                <w:color w:val="010000"/>
                <w:sz w:val="20"/>
                <w:szCs w:val="20"/>
              </w:rPr>
            </w:pPr>
            <w:r w:rsidRPr="008139DD">
              <w:rPr>
                <w:rFonts w:ascii="Arial" w:hAnsi="Arial" w:cs="Arial"/>
                <w:b/>
                <w:color w:val="010000"/>
                <w:sz w:val="20"/>
                <w:szCs w:val="20"/>
              </w:rPr>
              <w:t>Plan in 2024</w:t>
            </w:r>
          </w:p>
        </w:tc>
        <w:tc>
          <w:tcPr>
            <w:tcW w:w="1608" w:type="pct"/>
            <w:shd w:val="clear" w:color="auto" w:fill="auto"/>
            <w:tcMar>
              <w:top w:w="0" w:type="dxa"/>
              <w:bottom w:w="0" w:type="dxa"/>
            </w:tcMar>
            <w:vAlign w:val="center"/>
          </w:tcPr>
          <w:p w14:paraId="768B3D31"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b/>
                <w:color w:val="010000"/>
                <w:sz w:val="20"/>
                <w:szCs w:val="20"/>
              </w:rPr>
            </w:pPr>
            <w:r w:rsidRPr="008139DD">
              <w:rPr>
                <w:rFonts w:ascii="Arial" w:hAnsi="Arial" w:cs="Arial"/>
                <w:b/>
                <w:color w:val="010000"/>
                <w:sz w:val="20"/>
                <w:szCs w:val="20"/>
              </w:rPr>
              <w:t>Note</w:t>
            </w:r>
          </w:p>
        </w:tc>
      </w:tr>
      <w:tr w:rsidR="00B34B04" w:rsidRPr="008139DD" w14:paraId="0E9DFF67" w14:textId="77777777" w:rsidTr="00611E6C">
        <w:tc>
          <w:tcPr>
            <w:tcW w:w="291" w:type="pct"/>
            <w:shd w:val="clear" w:color="auto" w:fill="auto"/>
            <w:tcMar>
              <w:top w:w="0" w:type="dxa"/>
              <w:bottom w:w="0" w:type="dxa"/>
            </w:tcMar>
            <w:vAlign w:val="center"/>
          </w:tcPr>
          <w:p w14:paraId="54CF23DF"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1</w:t>
            </w:r>
          </w:p>
        </w:tc>
        <w:tc>
          <w:tcPr>
            <w:tcW w:w="1554" w:type="pct"/>
            <w:shd w:val="clear" w:color="auto" w:fill="auto"/>
            <w:tcMar>
              <w:top w:w="0" w:type="dxa"/>
              <w:bottom w:w="0" w:type="dxa"/>
            </w:tcMar>
            <w:vAlign w:val="center"/>
          </w:tcPr>
          <w:p w14:paraId="29A000DF"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Total revenue</w:t>
            </w:r>
          </w:p>
        </w:tc>
        <w:tc>
          <w:tcPr>
            <w:tcW w:w="721" w:type="pct"/>
            <w:shd w:val="clear" w:color="auto" w:fill="auto"/>
            <w:tcMar>
              <w:top w:w="0" w:type="dxa"/>
              <w:bottom w:w="0" w:type="dxa"/>
            </w:tcMar>
            <w:vAlign w:val="center"/>
          </w:tcPr>
          <w:p w14:paraId="7A4E4333"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Million VND</w:t>
            </w:r>
          </w:p>
        </w:tc>
        <w:tc>
          <w:tcPr>
            <w:tcW w:w="826" w:type="pct"/>
            <w:shd w:val="clear" w:color="auto" w:fill="auto"/>
            <w:tcMar>
              <w:top w:w="0" w:type="dxa"/>
              <w:bottom w:w="0" w:type="dxa"/>
            </w:tcMar>
            <w:vAlign w:val="center"/>
          </w:tcPr>
          <w:p w14:paraId="2774F3B7"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195,227</w:t>
            </w:r>
          </w:p>
        </w:tc>
        <w:tc>
          <w:tcPr>
            <w:tcW w:w="1608" w:type="pct"/>
            <w:shd w:val="clear" w:color="auto" w:fill="auto"/>
            <w:tcMar>
              <w:top w:w="0" w:type="dxa"/>
              <w:bottom w:w="0" w:type="dxa"/>
            </w:tcMar>
            <w:vAlign w:val="center"/>
          </w:tcPr>
          <w:p w14:paraId="4CB67471"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r w:rsidR="00B34B04" w:rsidRPr="008139DD" w14:paraId="5B783AB4" w14:textId="77777777" w:rsidTr="00611E6C">
        <w:tc>
          <w:tcPr>
            <w:tcW w:w="291" w:type="pct"/>
            <w:shd w:val="clear" w:color="auto" w:fill="auto"/>
            <w:tcMar>
              <w:top w:w="0" w:type="dxa"/>
              <w:bottom w:w="0" w:type="dxa"/>
            </w:tcMar>
            <w:vAlign w:val="center"/>
          </w:tcPr>
          <w:p w14:paraId="5E5BB88E" w14:textId="77777777" w:rsidR="00B34B04" w:rsidRPr="008139DD" w:rsidRDefault="00B34B04" w:rsidP="008139DD">
            <w:pPr>
              <w:tabs>
                <w:tab w:val="left" w:pos="270"/>
              </w:tabs>
              <w:spacing w:after="120" w:line="360" w:lineRule="auto"/>
              <w:jc w:val="both"/>
              <w:rPr>
                <w:rFonts w:ascii="Arial" w:eastAsia="Arial" w:hAnsi="Arial" w:cs="Arial"/>
                <w:color w:val="010000"/>
                <w:sz w:val="20"/>
                <w:szCs w:val="20"/>
              </w:rPr>
            </w:pPr>
          </w:p>
        </w:tc>
        <w:tc>
          <w:tcPr>
            <w:tcW w:w="1554" w:type="pct"/>
            <w:shd w:val="clear" w:color="auto" w:fill="auto"/>
            <w:tcMar>
              <w:top w:w="0" w:type="dxa"/>
              <w:bottom w:w="0" w:type="dxa"/>
            </w:tcMar>
            <w:vAlign w:val="center"/>
          </w:tcPr>
          <w:p w14:paraId="7FC40AE1"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 Revenue from construction and industrial production</w:t>
            </w:r>
          </w:p>
        </w:tc>
        <w:tc>
          <w:tcPr>
            <w:tcW w:w="721" w:type="pct"/>
            <w:shd w:val="clear" w:color="auto" w:fill="auto"/>
            <w:tcMar>
              <w:top w:w="0" w:type="dxa"/>
              <w:bottom w:w="0" w:type="dxa"/>
            </w:tcMar>
            <w:vAlign w:val="center"/>
          </w:tcPr>
          <w:p w14:paraId="1EE25E24"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Million VND</w:t>
            </w:r>
          </w:p>
        </w:tc>
        <w:tc>
          <w:tcPr>
            <w:tcW w:w="826" w:type="pct"/>
            <w:shd w:val="clear" w:color="auto" w:fill="auto"/>
            <w:tcMar>
              <w:top w:w="0" w:type="dxa"/>
              <w:bottom w:w="0" w:type="dxa"/>
            </w:tcMar>
            <w:vAlign w:val="center"/>
          </w:tcPr>
          <w:p w14:paraId="6D423D0E"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192,225</w:t>
            </w:r>
          </w:p>
        </w:tc>
        <w:tc>
          <w:tcPr>
            <w:tcW w:w="1608" w:type="pct"/>
            <w:shd w:val="clear" w:color="auto" w:fill="auto"/>
            <w:tcMar>
              <w:top w:w="0" w:type="dxa"/>
              <w:bottom w:w="0" w:type="dxa"/>
            </w:tcMar>
            <w:vAlign w:val="center"/>
          </w:tcPr>
          <w:p w14:paraId="212D21D9"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r w:rsidR="00B34B04" w:rsidRPr="008139DD" w14:paraId="09C17816" w14:textId="77777777" w:rsidTr="00611E6C">
        <w:tc>
          <w:tcPr>
            <w:tcW w:w="291" w:type="pct"/>
            <w:shd w:val="clear" w:color="auto" w:fill="auto"/>
            <w:tcMar>
              <w:top w:w="0" w:type="dxa"/>
              <w:bottom w:w="0" w:type="dxa"/>
            </w:tcMar>
            <w:vAlign w:val="center"/>
          </w:tcPr>
          <w:p w14:paraId="2E70E010" w14:textId="77777777" w:rsidR="00B34B04" w:rsidRPr="008139DD" w:rsidRDefault="00B34B04" w:rsidP="008139DD">
            <w:pPr>
              <w:tabs>
                <w:tab w:val="left" w:pos="270"/>
              </w:tabs>
              <w:spacing w:after="120" w:line="360" w:lineRule="auto"/>
              <w:jc w:val="both"/>
              <w:rPr>
                <w:rFonts w:ascii="Arial" w:eastAsia="Arial" w:hAnsi="Arial" w:cs="Arial"/>
                <w:color w:val="010000"/>
                <w:sz w:val="20"/>
                <w:szCs w:val="20"/>
              </w:rPr>
            </w:pPr>
          </w:p>
        </w:tc>
        <w:tc>
          <w:tcPr>
            <w:tcW w:w="1554" w:type="pct"/>
            <w:shd w:val="clear" w:color="auto" w:fill="auto"/>
            <w:tcMar>
              <w:top w:w="0" w:type="dxa"/>
              <w:bottom w:w="0" w:type="dxa"/>
            </w:tcMar>
            <w:vAlign w:val="center"/>
          </w:tcPr>
          <w:p w14:paraId="3B508308"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 Other revenue</w:t>
            </w:r>
          </w:p>
        </w:tc>
        <w:tc>
          <w:tcPr>
            <w:tcW w:w="721" w:type="pct"/>
            <w:shd w:val="clear" w:color="auto" w:fill="auto"/>
            <w:tcMar>
              <w:top w:w="0" w:type="dxa"/>
              <w:bottom w:w="0" w:type="dxa"/>
            </w:tcMar>
            <w:vAlign w:val="center"/>
          </w:tcPr>
          <w:p w14:paraId="1ABF8CBF"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Million VND</w:t>
            </w:r>
          </w:p>
        </w:tc>
        <w:tc>
          <w:tcPr>
            <w:tcW w:w="826" w:type="pct"/>
            <w:shd w:val="clear" w:color="auto" w:fill="auto"/>
            <w:tcMar>
              <w:top w:w="0" w:type="dxa"/>
              <w:bottom w:w="0" w:type="dxa"/>
            </w:tcMar>
            <w:vAlign w:val="center"/>
          </w:tcPr>
          <w:p w14:paraId="41872FC3"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3,002</w:t>
            </w:r>
          </w:p>
        </w:tc>
        <w:tc>
          <w:tcPr>
            <w:tcW w:w="1608" w:type="pct"/>
            <w:shd w:val="clear" w:color="auto" w:fill="auto"/>
            <w:tcMar>
              <w:top w:w="0" w:type="dxa"/>
              <w:bottom w:w="0" w:type="dxa"/>
            </w:tcMar>
            <w:vAlign w:val="center"/>
          </w:tcPr>
          <w:p w14:paraId="7A402467"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Leasing assets + financial resources</w:t>
            </w:r>
          </w:p>
        </w:tc>
      </w:tr>
      <w:tr w:rsidR="00B34B04" w:rsidRPr="008139DD" w14:paraId="2E2FBDE5" w14:textId="77777777" w:rsidTr="00611E6C">
        <w:tc>
          <w:tcPr>
            <w:tcW w:w="291" w:type="pct"/>
            <w:shd w:val="clear" w:color="auto" w:fill="auto"/>
            <w:tcMar>
              <w:top w:w="0" w:type="dxa"/>
              <w:bottom w:w="0" w:type="dxa"/>
            </w:tcMar>
            <w:vAlign w:val="center"/>
          </w:tcPr>
          <w:p w14:paraId="5E28906C"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2</w:t>
            </w:r>
          </w:p>
        </w:tc>
        <w:tc>
          <w:tcPr>
            <w:tcW w:w="1554" w:type="pct"/>
            <w:shd w:val="clear" w:color="auto" w:fill="auto"/>
            <w:tcMar>
              <w:top w:w="0" w:type="dxa"/>
              <w:bottom w:w="0" w:type="dxa"/>
            </w:tcMar>
            <w:vAlign w:val="center"/>
          </w:tcPr>
          <w:p w14:paraId="5539746C"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Profit before tax</w:t>
            </w:r>
          </w:p>
        </w:tc>
        <w:tc>
          <w:tcPr>
            <w:tcW w:w="721" w:type="pct"/>
            <w:shd w:val="clear" w:color="auto" w:fill="auto"/>
            <w:tcMar>
              <w:top w:w="0" w:type="dxa"/>
              <w:bottom w:w="0" w:type="dxa"/>
            </w:tcMar>
            <w:vAlign w:val="center"/>
          </w:tcPr>
          <w:p w14:paraId="1834305F"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Million VND</w:t>
            </w:r>
          </w:p>
        </w:tc>
        <w:tc>
          <w:tcPr>
            <w:tcW w:w="826" w:type="pct"/>
            <w:shd w:val="clear" w:color="auto" w:fill="auto"/>
            <w:tcMar>
              <w:top w:w="0" w:type="dxa"/>
              <w:bottom w:w="0" w:type="dxa"/>
            </w:tcMar>
            <w:vAlign w:val="center"/>
          </w:tcPr>
          <w:p w14:paraId="25307DE3"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497</w:t>
            </w:r>
          </w:p>
        </w:tc>
        <w:tc>
          <w:tcPr>
            <w:tcW w:w="1608" w:type="pct"/>
            <w:shd w:val="clear" w:color="auto" w:fill="auto"/>
            <w:tcMar>
              <w:top w:w="0" w:type="dxa"/>
              <w:bottom w:w="0" w:type="dxa"/>
            </w:tcMar>
            <w:vAlign w:val="center"/>
          </w:tcPr>
          <w:p w14:paraId="505A2AFB"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This profit does not include handling existing works</w:t>
            </w:r>
          </w:p>
        </w:tc>
      </w:tr>
      <w:tr w:rsidR="00B34B04" w:rsidRPr="008139DD" w14:paraId="7681DB94" w14:textId="77777777" w:rsidTr="00611E6C">
        <w:tc>
          <w:tcPr>
            <w:tcW w:w="291" w:type="pct"/>
            <w:shd w:val="clear" w:color="auto" w:fill="auto"/>
            <w:tcMar>
              <w:top w:w="0" w:type="dxa"/>
              <w:bottom w:w="0" w:type="dxa"/>
            </w:tcMar>
            <w:vAlign w:val="center"/>
          </w:tcPr>
          <w:p w14:paraId="7894C471"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3</w:t>
            </w:r>
          </w:p>
        </w:tc>
        <w:tc>
          <w:tcPr>
            <w:tcW w:w="1554" w:type="pct"/>
            <w:shd w:val="clear" w:color="auto" w:fill="auto"/>
            <w:tcMar>
              <w:top w:w="0" w:type="dxa"/>
              <w:bottom w:w="0" w:type="dxa"/>
            </w:tcMar>
            <w:vAlign w:val="center"/>
          </w:tcPr>
          <w:p w14:paraId="7E412379"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Total salary fund</w:t>
            </w:r>
          </w:p>
        </w:tc>
        <w:tc>
          <w:tcPr>
            <w:tcW w:w="721" w:type="pct"/>
            <w:shd w:val="clear" w:color="auto" w:fill="auto"/>
            <w:tcMar>
              <w:top w:w="0" w:type="dxa"/>
              <w:bottom w:w="0" w:type="dxa"/>
            </w:tcMar>
            <w:vAlign w:val="center"/>
          </w:tcPr>
          <w:p w14:paraId="23FAE60D"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Million VND</w:t>
            </w:r>
          </w:p>
        </w:tc>
        <w:tc>
          <w:tcPr>
            <w:tcW w:w="826" w:type="pct"/>
            <w:shd w:val="clear" w:color="auto" w:fill="auto"/>
            <w:tcMar>
              <w:top w:w="0" w:type="dxa"/>
              <w:bottom w:w="0" w:type="dxa"/>
            </w:tcMar>
            <w:vAlign w:val="center"/>
          </w:tcPr>
          <w:p w14:paraId="6B583565"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4,053</w:t>
            </w:r>
          </w:p>
        </w:tc>
        <w:tc>
          <w:tcPr>
            <w:tcW w:w="1608" w:type="pct"/>
            <w:shd w:val="clear" w:color="auto" w:fill="auto"/>
            <w:tcMar>
              <w:top w:w="0" w:type="dxa"/>
              <w:bottom w:w="0" w:type="dxa"/>
            </w:tcMar>
            <w:vAlign w:val="center"/>
          </w:tcPr>
          <w:p w14:paraId="32055822"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Expenses for workers on the insurance payment list;</w:t>
            </w:r>
          </w:p>
          <w:p w14:paraId="1212CE52" w14:textId="0257B413"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 xml:space="preserve">Does not include </w:t>
            </w:r>
            <w:r w:rsidR="008139DD">
              <w:rPr>
                <w:rFonts w:ascii="Arial" w:hAnsi="Arial" w:cs="Arial"/>
                <w:color w:val="010000"/>
                <w:sz w:val="20"/>
                <w:szCs w:val="20"/>
              </w:rPr>
              <w:t xml:space="preserve">the </w:t>
            </w:r>
            <w:r w:rsidRPr="008139DD">
              <w:rPr>
                <w:rFonts w:ascii="Arial" w:hAnsi="Arial" w:cs="Arial"/>
                <w:color w:val="010000"/>
                <w:sz w:val="20"/>
                <w:szCs w:val="20"/>
              </w:rPr>
              <w:t>remuneration of the Board of Directors, Supervisory Board, Secretary and salary of Project Management Board staff;</w:t>
            </w:r>
          </w:p>
        </w:tc>
      </w:tr>
      <w:tr w:rsidR="00B34B04" w:rsidRPr="008139DD" w14:paraId="02AECC7F" w14:textId="77777777" w:rsidTr="00611E6C">
        <w:tc>
          <w:tcPr>
            <w:tcW w:w="291" w:type="pct"/>
            <w:shd w:val="clear" w:color="auto" w:fill="auto"/>
            <w:tcMar>
              <w:top w:w="0" w:type="dxa"/>
              <w:bottom w:w="0" w:type="dxa"/>
            </w:tcMar>
            <w:vAlign w:val="center"/>
          </w:tcPr>
          <w:p w14:paraId="6ED1BB04"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4</w:t>
            </w:r>
          </w:p>
        </w:tc>
        <w:tc>
          <w:tcPr>
            <w:tcW w:w="1554" w:type="pct"/>
            <w:shd w:val="clear" w:color="auto" w:fill="auto"/>
            <w:tcMar>
              <w:top w:w="0" w:type="dxa"/>
              <w:bottom w:w="0" w:type="dxa"/>
            </w:tcMar>
            <w:vAlign w:val="center"/>
          </w:tcPr>
          <w:p w14:paraId="7F008B33"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Average salary (Labor in the list)</w:t>
            </w:r>
          </w:p>
        </w:tc>
        <w:tc>
          <w:tcPr>
            <w:tcW w:w="721" w:type="pct"/>
            <w:shd w:val="clear" w:color="auto" w:fill="auto"/>
            <w:tcMar>
              <w:top w:w="0" w:type="dxa"/>
              <w:bottom w:w="0" w:type="dxa"/>
            </w:tcMar>
            <w:vAlign w:val="center"/>
          </w:tcPr>
          <w:p w14:paraId="52E92261"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VND/ person/ month</w:t>
            </w:r>
          </w:p>
        </w:tc>
        <w:tc>
          <w:tcPr>
            <w:tcW w:w="826" w:type="pct"/>
            <w:shd w:val="clear" w:color="auto" w:fill="auto"/>
            <w:tcMar>
              <w:top w:w="0" w:type="dxa"/>
              <w:bottom w:w="0" w:type="dxa"/>
            </w:tcMar>
            <w:vAlign w:val="center"/>
          </w:tcPr>
          <w:p w14:paraId="54D8D102"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10,120,207</w:t>
            </w:r>
          </w:p>
        </w:tc>
        <w:tc>
          <w:tcPr>
            <w:tcW w:w="1608" w:type="pct"/>
            <w:shd w:val="clear" w:color="auto" w:fill="auto"/>
            <w:tcMar>
              <w:top w:w="0" w:type="dxa"/>
              <w:bottom w:w="0" w:type="dxa"/>
            </w:tcMar>
            <w:vAlign w:val="center"/>
          </w:tcPr>
          <w:p w14:paraId="1CD7178A"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r w:rsidR="00B34B04" w:rsidRPr="008139DD" w14:paraId="4678546F" w14:textId="77777777" w:rsidTr="00611E6C">
        <w:tc>
          <w:tcPr>
            <w:tcW w:w="291" w:type="pct"/>
            <w:shd w:val="clear" w:color="auto" w:fill="auto"/>
            <w:tcMar>
              <w:top w:w="0" w:type="dxa"/>
              <w:bottom w:w="0" w:type="dxa"/>
            </w:tcMar>
            <w:vAlign w:val="center"/>
          </w:tcPr>
          <w:p w14:paraId="06E7E2EE"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5</w:t>
            </w:r>
          </w:p>
        </w:tc>
        <w:tc>
          <w:tcPr>
            <w:tcW w:w="1554" w:type="pct"/>
            <w:shd w:val="clear" w:color="auto" w:fill="auto"/>
            <w:tcMar>
              <w:top w:w="0" w:type="dxa"/>
              <w:bottom w:w="0" w:type="dxa"/>
            </w:tcMar>
            <w:vAlign w:val="center"/>
          </w:tcPr>
          <w:p w14:paraId="08F9802F"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Dividend payment</w:t>
            </w:r>
          </w:p>
        </w:tc>
        <w:tc>
          <w:tcPr>
            <w:tcW w:w="721" w:type="pct"/>
            <w:shd w:val="clear" w:color="auto" w:fill="auto"/>
            <w:tcMar>
              <w:top w:w="0" w:type="dxa"/>
              <w:bottom w:w="0" w:type="dxa"/>
            </w:tcMar>
            <w:vAlign w:val="center"/>
          </w:tcPr>
          <w:p w14:paraId="66B74CA0"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w:t>
            </w:r>
          </w:p>
        </w:tc>
        <w:tc>
          <w:tcPr>
            <w:tcW w:w="826" w:type="pct"/>
            <w:shd w:val="clear" w:color="auto" w:fill="auto"/>
            <w:tcMar>
              <w:top w:w="0" w:type="dxa"/>
              <w:bottom w:w="0" w:type="dxa"/>
            </w:tcMar>
            <w:vAlign w:val="center"/>
          </w:tcPr>
          <w:p w14:paraId="2103849A"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No dividend</w:t>
            </w:r>
          </w:p>
        </w:tc>
        <w:tc>
          <w:tcPr>
            <w:tcW w:w="1608" w:type="pct"/>
            <w:shd w:val="clear" w:color="auto" w:fill="auto"/>
            <w:tcMar>
              <w:top w:w="0" w:type="dxa"/>
              <w:bottom w:w="0" w:type="dxa"/>
            </w:tcMar>
            <w:vAlign w:val="center"/>
          </w:tcPr>
          <w:p w14:paraId="1F02B8CD"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bl>
    <w:p w14:paraId="114BF680" w14:textId="77777777" w:rsidR="00B34B04" w:rsidRPr="008139DD" w:rsidRDefault="00611E6C" w:rsidP="008139DD">
      <w:pPr>
        <w:numPr>
          <w:ilvl w:val="0"/>
          <w:numId w:val="2"/>
        </w:numPr>
        <w:pBdr>
          <w:top w:val="nil"/>
          <w:left w:val="nil"/>
          <w:bottom w:val="nil"/>
          <w:right w:val="nil"/>
          <w:between w:val="nil"/>
        </w:pBdr>
        <w:tabs>
          <w:tab w:val="left" w:pos="270"/>
        </w:tabs>
        <w:spacing w:after="120" w:line="360" w:lineRule="auto"/>
        <w:ind w:left="0" w:firstLine="0"/>
        <w:jc w:val="both"/>
        <w:rPr>
          <w:rFonts w:ascii="Arial" w:eastAsia="Arial" w:hAnsi="Arial" w:cs="Arial"/>
          <w:color w:val="010000"/>
          <w:sz w:val="20"/>
          <w:szCs w:val="20"/>
        </w:rPr>
      </w:pPr>
      <w:r w:rsidRPr="008139DD">
        <w:rPr>
          <w:rFonts w:ascii="Arial" w:hAnsi="Arial" w:cs="Arial"/>
          <w:color w:val="010000"/>
          <w:sz w:val="20"/>
          <w:szCs w:val="20"/>
        </w:rPr>
        <w:t xml:space="preserve"> Solutions to implement planned tasks.</w:t>
      </w:r>
    </w:p>
    <w:p w14:paraId="2A3C4D9D" w14:textId="3BB898D2" w:rsidR="00B34B04" w:rsidRPr="008139DD" w:rsidRDefault="00611E6C" w:rsidP="008139DD">
      <w:pPr>
        <w:numPr>
          <w:ilvl w:val="1"/>
          <w:numId w:val="4"/>
        </w:numPr>
        <w:pBdr>
          <w:top w:val="nil"/>
          <w:left w:val="nil"/>
          <w:bottom w:val="nil"/>
          <w:right w:val="nil"/>
          <w:between w:val="nil"/>
        </w:pBdr>
        <w:tabs>
          <w:tab w:val="left" w:pos="270"/>
          <w:tab w:val="left" w:pos="782"/>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Production and market organization:</w:t>
      </w:r>
    </w:p>
    <w:p w14:paraId="667A53F4" w14:textId="185A07B7" w:rsidR="00B34B04" w:rsidRPr="008139DD" w:rsidRDefault="00611E6C" w:rsidP="008139DD">
      <w:pPr>
        <w:numPr>
          <w:ilvl w:val="1"/>
          <w:numId w:val="4"/>
        </w:numPr>
        <w:pBdr>
          <w:top w:val="nil"/>
          <w:left w:val="nil"/>
          <w:bottom w:val="nil"/>
          <w:right w:val="nil"/>
          <w:between w:val="nil"/>
        </w:pBdr>
        <w:tabs>
          <w:tab w:val="left" w:pos="270"/>
          <w:tab w:val="left" w:pos="788"/>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 xml:space="preserve">Finance and accounting: </w:t>
      </w:r>
    </w:p>
    <w:p w14:paraId="7DF3A243" w14:textId="77777777" w:rsidR="00B34B04" w:rsidRPr="008139DD" w:rsidRDefault="00611E6C" w:rsidP="008139DD">
      <w:pPr>
        <w:numPr>
          <w:ilvl w:val="1"/>
          <w:numId w:val="4"/>
        </w:numPr>
        <w:pBdr>
          <w:top w:val="nil"/>
          <w:left w:val="nil"/>
          <w:bottom w:val="nil"/>
          <w:right w:val="nil"/>
          <w:between w:val="nil"/>
        </w:pBdr>
        <w:tabs>
          <w:tab w:val="left" w:pos="270"/>
          <w:tab w:val="left" w:pos="788"/>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Organizational work:</w:t>
      </w:r>
    </w:p>
    <w:p w14:paraId="06A4D064"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 xml:space="preserve">For the Company's Representative Office in </w:t>
      </w:r>
      <w:proofErr w:type="spellStart"/>
      <w:r w:rsidRPr="008139DD">
        <w:rPr>
          <w:rFonts w:ascii="Arial" w:hAnsi="Arial" w:cs="Arial"/>
          <w:color w:val="010000"/>
          <w:sz w:val="20"/>
          <w:szCs w:val="20"/>
        </w:rPr>
        <w:t>Quang</w:t>
      </w:r>
      <w:proofErr w:type="spellEnd"/>
      <w:r w:rsidRPr="008139DD">
        <w:rPr>
          <w:rFonts w:ascii="Arial" w:hAnsi="Arial" w:cs="Arial"/>
          <w:color w:val="010000"/>
          <w:sz w:val="20"/>
          <w:szCs w:val="20"/>
        </w:rPr>
        <w:t xml:space="preserve"> </w:t>
      </w:r>
      <w:proofErr w:type="spellStart"/>
      <w:r w:rsidRPr="008139DD">
        <w:rPr>
          <w:rFonts w:ascii="Arial" w:hAnsi="Arial" w:cs="Arial"/>
          <w:color w:val="010000"/>
          <w:sz w:val="20"/>
          <w:szCs w:val="20"/>
        </w:rPr>
        <w:t>Ninh</w:t>
      </w:r>
      <w:proofErr w:type="spellEnd"/>
      <w:r w:rsidRPr="008139DD">
        <w:rPr>
          <w:rFonts w:ascii="Arial" w:hAnsi="Arial" w:cs="Arial"/>
          <w:color w:val="010000"/>
          <w:sz w:val="20"/>
          <w:szCs w:val="20"/>
        </w:rPr>
        <w:t xml:space="preserve">, address at: Group 2D-area 7, Cam </w:t>
      </w:r>
      <w:proofErr w:type="spellStart"/>
      <w:r w:rsidRPr="008139DD">
        <w:rPr>
          <w:rFonts w:ascii="Arial" w:hAnsi="Arial" w:cs="Arial"/>
          <w:color w:val="010000"/>
          <w:sz w:val="20"/>
          <w:szCs w:val="20"/>
        </w:rPr>
        <w:t>Thinh</w:t>
      </w:r>
      <w:proofErr w:type="spellEnd"/>
      <w:r w:rsidRPr="008139DD">
        <w:rPr>
          <w:rFonts w:ascii="Arial" w:hAnsi="Arial" w:cs="Arial"/>
          <w:color w:val="010000"/>
          <w:sz w:val="20"/>
          <w:szCs w:val="20"/>
        </w:rPr>
        <w:t xml:space="preserve"> ward, Cam </w:t>
      </w:r>
      <w:proofErr w:type="spellStart"/>
      <w:r w:rsidRPr="008139DD">
        <w:rPr>
          <w:rFonts w:ascii="Arial" w:hAnsi="Arial" w:cs="Arial"/>
          <w:color w:val="010000"/>
          <w:sz w:val="20"/>
          <w:szCs w:val="20"/>
        </w:rPr>
        <w:t>Pha</w:t>
      </w:r>
      <w:proofErr w:type="spellEnd"/>
      <w:r w:rsidRPr="008139DD">
        <w:rPr>
          <w:rFonts w:ascii="Arial" w:hAnsi="Arial" w:cs="Arial"/>
          <w:color w:val="010000"/>
          <w:sz w:val="20"/>
          <w:szCs w:val="20"/>
        </w:rPr>
        <w:t xml:space="preserve"> town, </w:t>
      </w:r>
      <w:proofErr w:type="spellStart"/>
      <w:r w:rsidRPr="008139DD">
        <w:rPr>
          <w:rFonts w:ascii="Arial" w:hAnsi="Arial" w:cs="Arial"/>
          <w:color w:val="010000"/>
          <w:sz w:val="20"/>
          <w:szCs w:val="20"/>
        </w:rPr>
        <w:t>Quang</w:t>
      </w:r>
      <w:proofErr w:type="spellEnd"/>
      <w:r w:rsidRPr="008139DD">
        <w:rPr>
          <w:rFonts w:ascii="Arial" w:hAnsi="Arial" w:cs="Arial"/>
          <w:color w:val="010000"/>
          <w:sz w:val="20"/>
          <w:szCs w:val="20"/>
        </w:rPr>
        <w:t xml:space="preserve"> </w:t>
      </w:r>
      <w:proofErr w:type="spellStart"/>
      <w:r w:rsidRPr="008139DD">
        <w:rPr>
          <w:rFonts w:ascii="Arial" w:hAnsi="Arial" w:cs="Arial"/>
          <w:color w:val="010000"/>
          <w:sz w:val="20"/>
          <w:szCs w:val="20"/>
        </w:rPr>
        <w:t>Ninh</w:t>
      </w:r>
      <w:proofErr w:type="spellEnd"/>
      <w:r w:rsidRPr="008139DD">
        <w:rPr>
          <w:rFonts w:ascii="Arial" w:hAnsi="Arial" w:cs="Arial"/>
          <w:color w:val="010000"/>
          <w:sz w:val="20"/>
          <w:szCs w:val="20"/>
        </w:rPr>
        <w:t xml:space="preserve"> province: Termination of operation of Representative Office. Reason: In recent years, the Office has not been able to exploit new economic contracts. Besides, in the construction market in </w:t>
      </w:r>
      <w:proofErr w:type="spellStart"/>
      <w:r w:rsidRPr="008139DD">
        <w:rPr>
          <w:rFonts w:ascii="Arial" w:hAnsi="Arial" w:cs="Arial"/>
          <w:color w:val="010000"/>
          <w:sz w:val="20"/>
          <w:szCs w:val="20"/>
        </w:rPr>
        <w:t>Quang</w:t>
      </w:r>
      <w:proofErr w:type="spellEnd"/>
      <w:r w:rsidRPr="008139DD">
        <w:rPr>
          <w:rFonts w:ascii="Arial" w:hAnsi="Arial" w:cs="Arial"/>
          <w:color w:val="010000"/>
          <w:sz w:val="20"/>
          <w:szCs w:val="20"/>
        </w:rPr>
        <w:t xml:space="preserve"> </w:t>
      </w:r>
      <w:proofErr w:type="spellStart"/>
      <w:r w:rsidRPr="008139DD">
        <w:rPr>
          <w:rFonts w:ascii="Arial" w:hAnsi="Arial" w:cs="Arial"/>
          <w:color w:val="010000"/>
          <w:sz w:val="20"/>
          <w:szCs w:val="20"/>
        </w:rPr>
        <w:t>Ninh</w:t>
      </w:r>
      <w:proofErr w:type="spellEnd"/>
      <w:r w:rsidRPr="008139DD">
        <w:rPr>
          <w:rFonts w:ascii="Arial" w:hAnsi="Arial" w:cs="Arial"/>
          <w:color w:val="010000"/>
          <w:sz w:val="20"/>
          <w:szCs w:val="20"/>
        </w:rPr>
        <w:t xml:space="preserve"> and neighboring locations, it is not necessary to have a legal entity </w:t>
      </w:r>
      <w:r w:rsidRPr="008139DD">
        <w:rPr>
          <w:rFonts w:ascii="Arial" w:hAnsi="Arial" w:cs="Arial"/>
          <w:color w:val="010000"/>
          <w:sz w:val="20"/>
          <w:szCs w:val="20"/>
        </w:rPr>
        <w:lastRenderedPageBreak/>
        <w:t>representing the Company to look for new works. The Representative Office has no assets, and currently the staff at the Representative Office only has one concurrent Company officer, so the termination of the Representative Office's operations will not affect the overall operations of the Company.</w:t>
      </w:r>
    </w:p>
    <w:p w14:paraId="7BDB3D1A" w14:textId="77777777" w:rsidR="00B34B04" w:rsidRPr="008139DD" w:rsidRDefault="00611E6C" w:rsidP="008139DD">
      <w:pPr>
        <w:numPr>
          <w:ilvl w:val="1"/>
          <w:numId w:val="4"/>
        </w:numPr>
        <w:pBdr>
          <w:top w:val="nil"/>
          <w:left w:val="nil"/>
          <w:bottom w:val="nil"/>
          <w:right w:val="nil"/>
          <w:between w:val="nil"/>
        </w:pBdr>
        <w:tabs>
          <w:tab w:val="left" w:pos="270"/>
          <w:tab w:val="left" w:pos="788"/>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Exploitation, management and use of assets and land:</w:t>
      </w:r>
    </w:p>
    <w:p w14:paraId="24C4182A"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Continue to research, operate and exploit to the maximum, ensuring optimal efficiency, in accordance with legal regulations for the management and use of the Company's existing assets and land.</w:t>
      </w:r>
    </w:p>
    <w:p w14:paraId="11DFD7B5" w14:textId="77777777" w:rsidR="00B34B04" w:rsidRPr="008139DD" w:rsidRDefault="00611E6C" w:rsidP="008139DD">
      <w:pPr>
        <w:numPr>
          <w:ilvl w:val="2"/>
          <w:numId w:val="4"/>
        </w:numPr>
        <w:pBdr>
          <w:top w:val="nil"/>
          <w:left w:val="nil"/>
          <w:bottom w:val="nil"/>
          <w:right w:val="nil"/>
          <w:between w:val="nil"/>
        </w:pBdr>
        <w:tabs>
          <w:tab w:val="left" w:pos="270"/>
          <w:tab w:val="left" w:pos="788"/>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For properties at 150/72 Nguyen Trai - Thanh Xuan - Hanoi: Continue to lease assets according to asset lease contract No. 01/2023/CIPC- KHKT dated May 22, 2023;</w:t>
      </w:r>
    </w:p>
    <w:p w14:paraId="5362E311" w14:textId="77777777" w:rsidR="00B34B04" w:rsidRPr="008139DD" w:rsidRDefault="00611E6C" w:rsidP="008139DD">
      <w:pPr>
        <w:numPr>
          <w:ilvl w:val="2"/>
          <w:numId w:val="4"/>
        </w:numPr>
        <w:pBdr>
          <w:top w:val="nil"/>
          <w:left w:val="nil"/>
          <w:bottom w:val="nil"/>
          <w:right w:val="nil"/>
          <w:between w:val="nil"/>
        </w:pBdr>
        <w:tabs>
          <w:tab w:val="left" w:pos="270"/>
          <w:tab w:val="left" w:pos="788"/>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For the land at No. 1 Dai Dong, Thanh Tri, Hoang Mai, Hanoi:</w:t>
      </w:r>
    </w:p>
    <w:p w14:paraId="13ADD261"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Carry out legal procedures to extend land lease contracts according to regulations and prepare investment proposal documents for school construction in accordance with the general planning of Hanoi city at land number 1 Dai Dong - Thanh Tri - Hanoi. Authorize the Board of Directors to approve related contents (when necessary) and present a report at the nearest General Meeting of Shareholders.</w:t>
      </w:r>
    </w:p>
    <w:p w14:paraId="0E6C867E"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While waiting for the competent authorities to consider and approve the school investment project, continue to lease assets (short-term) to generate revenue, pay tax debts and Company operating expenses.</w:t>
      </w:r>
    </w:p>
    <w:p w14:paraId="74704C8A" w14:textId="77777777" w:rsidR="00B34B04" w:rsidRPr="008139DD" w:rsidRDefault="00611E6C" w:rsidP="008139DD">
      <w:pPr>
        <w:numPr>
          <w:ilvl w:val="2"/>
          <w:numId w:val="4"/>
        </w:numPr>
        <w:pBdr>
          <w:top w:val="nil"/>
          <w:left w:val="nil"/>
          <w:bottom w:val="nil"/>
          <w:right w:val="nil"/>
          <w:between w:val="nil"/>
        </w:pBdr>
        <w:tabs>
          <w:tab w:val="left" w:pos="270"/>
          <w:tab w:val="left" w:pos="699"/>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 xml:space="preserve">For the land in Cam </w:t>
      </w:r>
      <w:proofErr w:type="spellStart"/>
      <w:r w:rsidRPr="008139DD">
        <w:rPr>
          <w:rFonts w:ascii="Arial" w:hAnsi="Arial" w:cs="Arial"/>
          <w:color w:val="010000"/>
          <w:sz w:val="20"/>
          <w:szCs w:val="20"/>
        </w:rPr>
        <w:t>Thinh</w:t>
      </w:r>
      <w:proofErr w:type="spellEnd"/>
      <w:r w:rsidRPr="008139DD">
        <w:rPr>
          <w:rFonts w:ascii="Arial" w:hAnsi="Arial" w:cs="Arial"/>
          <w:color w:val="010000"/>
          <w:sz w:val="20"/>
          <w:szCs w:val="20"/>
        </w:rPr>
        <w:t xml:space="preserve"> Ward, Cam </w:t>
      </w:r>
      <w:proofErr w:type="spellStart"/>
      <w:proofErr w:type="gramStart"/>
      <w:r w:rsidRPr="008139DD">
        <w:rPr>
          <w:rFonts w:ascii="Arial" w:hAnsi="Arial" w:cs="Arial"/>
          <w:color w:val="010000"/>
          <w:sz w:val="20"/>
          <w:szCs w:val="20"/>
        </w:rPr>
        <w:t>Pha</w:t>
      </w:r>
      <w:proofErr w:type="spellEnd"/>
      <w:proofErr w:type="gramEnd"/>
      <w:r w:rsidRPr="008139DD">
        <w:rPr>
          <w:rFonts w:ascii="Arial" w:hAnsi="Arial" w:cs="Arial"/>
          <w:color w:val="010000"/>
          <w:sz w:val="20"/>
          <w:szCs w:val="20"/>
        </w:rPr>
        <w:t xml:space="preserve"> City. </w:t>
      </w:r>
      <w:proofErr w:type="spellStart"/>
      <w:r w:rsidRPr="008139DD">
        <w:rPr>
          <w:rFonts w:ascii="Arial" w:hAnsi="Arial" w:cs="Arial"/>
          <w:color w:val="010000"/>
          <w:sz w:val="20"/>
          <w:szCs w:val="20"/>
        </w:rPr>
        <w:t>Quang</w:t>
      </w:r>
      <w:proofErr w:type="spellEnd"/>
      <w:r w:rsidRPr="008139DD">
        <w:rPr>
          <w:rFonts w:ascii="Arial" w:hAnsi="Arial" w:cs="Arial"/>
          <w:color w:val="010000"/>
          <w:sz w:val="20"/>
          <w:szCs w:val="20"/>
        </w:rPr>
        <w:t xml:space="preserve"> </w:t>
      </w:r>
      <w:proofErr w:type="spellStart"/>
      <w:r w:rsidRPr="008139DD">
        <w:rPr>
          <w:rFonts w:ascii="Arial" w:hAnsi="Arial" w:cs="Arial"/>
          <w:color w:val="010000"/>
          <w:sz w:val="20"/>
          <w:szCs w:val="20"/>
        </w:rPr>
        <w:t>Ninh</w:t>
      </w:r>
      <w:proofErr w:type="spellEnd"/>
      <w:r w:rsidRPr="008139DD">
        <w:rPr>
          <w:rFonts w:ascii="Arial" w:hAnsi="Arial" w:cs="Arial"/>
          <w:color w:val="010000"/>
          <w:sz w:val="20"/>
          <w:szCs w:val="20"/>
        </w:rPr>
        <w:t xml:space="preserve"> Province</w:t>
      </w:r>
    </w:p>
    <w:p w14:paraId="13352FE3"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 xml:space="preserve">Continue to exploit (short-term) property rental to generate revenue; </w:t>
      </w:r>
      <w:proofErr w:type="gramStart"/>
      <w:r w:rsidRPr="008139DD">
        <w:rPr>
          <w:rFonts w:ascii="Arial" w:hAnsi="Arial" w:cs="Arial"/>
          <w:color w:val="010000"/>
          <w:sz w:val="20"/>
          <w:szCs w:val="20"/>
        </w:rPr>
        <w:t>At</w:t>
      </w:r>
      <w:proofErr w:type="gramEnd"/>
      <w:r w:rsidRPr="008139DD">
        <w:rPr>
          <w:rFonts w:ascii="Arial" w:hAnsi="Arial" w:cs="Arial"/>
          <w:color w:val="010000"/>
          <w:sz w:val="20"/>
          <w:szCs w:val="20"/>
        </w:rPr>
        <w:t xml:space="preserve"> the same time, research effective investment and exploitation plans in accordance with current state regulations on investment and land management.</w:t>
      </w:r>
    </w:p>
    <w:p w14:paraId="7A7AE4B6" w14:textId="77777777" w:rsidR="00B34B04" w:rsidRPr="008139DD" w:rsidRDefault="00611E6C" w:rsidP="008139DD">
      <w:pPr>
        <w:numPr>
          <w:ilvl w:val="2"/>
          <w:numId w:val="4"/>
        </w:numPr>
        <w:pBdr>
          <w:top w:val="nil"/>
          <w:left w:val="nil"/>
          <w:bottom w:val="nil"/>
          <w:right w:val="nil"/>
          <w:between w:val="nil"/>
        </w:pBdr>
        <w:tabs>
          <w:tab w:val="left" w:pos="270"/>
          <w:tab w:val="left" w:pos="714"/>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 xml:space="preserve">For the land plot at 106 </w:t>
      </w:r>
      <w:proofErr w:type="spellStart"/>
      <w:r w:rsidRPr="008139DD">
        <w:rPr>
          <w:rFonts w:ascii="Arial" w:hAnsi="Arial" w:cs="Arial"/>
          <w:color w:val="010000"/>
          <w:sz w:val="20"/>
          <w:szCs w:val="20"/>
        </w:rPr>
        <w:t>Duc</w:t>
      </w:r>
      <w:proofErr w:type="spellEnd"/>
      <w:r w:rsidRPr="008139DD">
        <w:rPr>
          <w:rFonts w:ascii="Arial" w:hAnsi="Arial" w:cs="Arial"/>
          <w:color w:val="010000"/>
          <w:sz w:val="20"/>
          <w:szCs w:val="20"/>
        </w:rPr>
        <w:t xml:space="preserve"> Giang, Long Bien, Hanoi: Continue to work with </w:t>
      </w:r>
      <w:proofErr w:type="spellStart"/>
      <w:r w:rsidRPr="008139DD">
        <w:rPr>
          <w:rFonts w:ascii="Arial" w:hAnsi="Arial" w:cs="Arial"/>
          <w:color w:val="010000"/>
          <w:sz w:val="20"/>
          <w:szCs w:val="20"/>
        </w:rPr>
        <w:t>Duc</w:t>
      </w:r>
      <w:proofErr w:type="spellEnd"/>
      <w:r w:rsidRPr="008139DD">
        <w:rPr>
          <w:rFonts w:ascii="Arial" w:hAnsi="Arial" w:cs="Arial"/>
          <w:color w:val="010000"/>
          <w:sz w:val="20"/>
          <w:szCs w:val="20"/>
        </w:rPr>
        <w:t xml:space="preserve"> Giang Construction And Industrial Production Joint Stock Company to handle and resolve problems and problems in accordance with the provisions of law.</w:t>
      </w:r>
    </w:p>
    <w:p w14:paraId="57A524BC"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Article 6: Approving the salary fund 2023 and plan 2024; Remuneration for the Board of Directors, Supervisory Board, and Accounts of the Company implemented in 2023 and planned for 2024.</w:t>
      </w:r>
    </w:p>
    <w:p w14:paraId="757F1BA2" w14:textId="77777777" w:rsidR="00B34B04" w:rsidRPr="008139DD" w:rsidRDefault="00611E6C" w:rsidP="008139DD">
      <w:pPr>
        <w:numPr>
          <w:ilvl w:val="0"/>
          <w:numId w:val="5"/>
        </w:numPr>
        <w:pBdr>
          <w:top w:val="nil"/>
          <w:left w:val="nil"/>
          <w:bottom w:val="nil"/>
          <w:right w:val="nil"/>
          <w:between w:val="nil"/>
        </w:pBdr>
        <w:tabs>
          <w:tab w:val="left" w:pos="270"/>
          <w:tab w:val="left" w:pos="485"/>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Total salary and remuneration fund for the Board of Directors, Supervisory Board, and Secretary in 2023</w:t>
      </w:r>
    </w:p>
    <w:p w14:paraId="2853FFCD" w14:textId="77777777" w:rsidR="00B34B04" w:rsidRPr="008139DD" w:rsidRDefault="00611E6C" w:rsidP="008139DD">
      <w:pPr>
        <w:pStyle w:val="ListParagraph"/>
        <w:numPr>
          <w:ilvl w:val="0"/>
          <w:numId w:val="7"/>
        </w:numPr>
        <w:pBdr>
          <w:top w:val="nil"/>
          <w:left w:val="nil"/>
          <w:bottom w:val="nil"/>
          <w:right w:val="nil"/>
          <w:between w:val="nil"/>
        </w:pBdr>
        <w:tabs>
          <w:tab w:val="left" w:pos="270"/>
        </w:tabs>
        <w:spacing w:after="120" w:line="360" w:lineRule="auto"/>
        <w:ind w:left="0" w:firstLine="0"/>
        <w:contextualSpacing w:val="0"/>
        <w:jc w:val="both"/>
        <w:rPr>
          <w:rFonts w:ascii="Arial" w:eastAsia="Arial" w:hAnsi="Arial" w:cs="Arial"/>
          <w:color w:val="010000"/>
          <w:sz w:val="20"/>
          <w:szCs w:val="20"/>
        </w:rPr>
      </w:pPr>
      <w:r w:rsidRPr="008139DD">
        <w:rPr>
          <w:rFonts w:ascii="Arial" w:hAnsi="Arial" w:cs="Arial"/>
          <w:color w:val="010000"/>
          <w:sz w:val="20"/>
          <w:szCs w:val="20"/>
        </w:rPr>
        <w:t xml:space="preserve">Salary in 2023: The salary fund for the labor in the list (excluding remuneration of the Board of Directors, Supervisory Board, </w:t>
      </w:r>
      <w:proofErr w:type="gramStart"/>
      <w:r w:rsidRPr="008139DD">
        <w:rPr>
          <w:rFonts w:ascii="Arial" w:hAnsi="Arial" w:cs="Arial"/>
          <w:color w:val="010000"/>
          <w:sz w:val="20"/>
          <w:szCs w:val="20"/>
        </w:rPr>
        <w:t>Secretary</w:t>
      </w:r>
      <w:proofErr w:type="gramEnd"/>
      <w:r w:rsidRPr="008139DD">
        <w:rPr>
          <w:rFonts w:ascii="Arial" w:hAnsi="Arial" w:cs="Arial"/>
          <w:color w:val="010000"/>
          <w:sz w:val="20"/>
          <w:szCs w:val="20"/>
        </w:rPr>
        <w:t xml:space="preserve"> and Project Management Board salary) is: VND 2,088 Million.</w:t>
      </w:r>
    </w:p>
    <w:p w14:paraId="39892F51" w14:textId="77777777" w:rsidR="00B34B04" w:rsidRPr="008139DD" w:rsidRDefault="00611E6C" w:rsidP="008139DD">
      <w:pPr>
        <w:pStyle w:val="ListParagraph"/>
        <w:numPr>
          <w:ilvl w:val="0"/>
          <w:numId w:val="7"/>
        </w:numPr>
        <w:pBdr>
          <w:top w:val="nil"/>
          <w:left w:val="nil"/>
          <w:bottom w:val="nil"/>
          <w:right w:val="nil"/>
          <w:between w:val="nil"/>
        </w:pBdr>
        <w:tabs>
          <w:tab w:val="left" w:pos="270"/>
        </w:tabs>
        <w:spacing w:after="120" w:line="360" w:lineRule="auto"/>
        <w:ind w:left="0" w:firstLine="0"/>
        <w:contextualSpacing w:val="0"/>
        <w:jc w:val="both"/>
        <w:rPr>
          <w:rFonts w:ascii="Arial" w:eastAsia="Arial" w:hAnsi="Arial" w:cs="Arial"/>
          <w:color w:val="010000"/>
          <w:sz w:val="20"/>
          <w:szCs w:val="20"/>
        </w:rPr>
      </w:pPr>
      <w:r w:rsidRPr="008139DD">
        <w:rPr>
          <w:rFonts w:ascii="Arial" w:hAnsi="Arial" w:cs="Arial"/>
          <w:color w:val="010000"/>
          <w:sz w:val="20"/>
          <w:szCs w:val="20"/>
        </w:rPr>
        <w:t>Remuneration 2023: Settlement of remuneration for the Board of Directors, Supervisory Board, and Company Secretary in 2023 is: VND 264 million;</w:t>
      </w:r>
    </w:p>
    <w:p w14:paraId="5EE91A14" w14:textId="77777777" w:rsidR="00B34B04" w:rsidRPr="008139DD" w:rsidRDefault="00611E6C" w:rsidP="008139DD">
      <w:pPr>
        <w:numPr>
          <w:ilvl w:val="0"/>
          <w:numId w:val="5"/>
        </w:numPr>
        <w:pBdr>
          <w:top w:val="nil"/>
          <w:left w:val="nil"/>
          <w:bottom w:val="nil"/>
          <w:right w:val="nil"/>
          <w:between w:val="nil"/>
        </w:pBdr>
        <w:tabs>
          <w:tab w:val="left" w:pos="270"/>
          <w:tab w:val="left" w:pos="31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Plan for Salary and remuneration fund for the Board of Directors, Supervisory Board, and Secretary in 2024</w:t>
      </w:r>
    </w:p>
    <w:p w14:paraId="2F9A616F" w14:textId="77777777" w:rsidR="00B34B04" w:rsidRPr="008139DD" w:rsidRDefault="00611E6C" w:rsidP="008139DD">
      <w:pPr>
        <w:pStyle w:val="ListParagraph"/>
        <w:numPr>
          <w:ilvl w:val="0"/>
          <w:numId w:val="8"/>
        </w:numPr>
        <w:pBdr>
          <w:top w:val="nil"/>
          <w:left w:val="nil"/>
          <w:bottom w:val="nil"/>
          <w:right w:val="nil"/>
          <w:between w:val="nil"/>
        </w:pBdr>
        <w:tabs>
          <w:tab w:val="left" w:pos="270"/>
        </w:tabs>
        <w:spacing w:after="120" w:line="360" w:lineRule="auto"/>
        <w:ind w:left="0" w:firstLine="0"/>
        <w:contextualSpacing w:val="0"/>
        <w:jc w:val="both"/>
        <w:rPr>
          <w:rFonts w:ascii="Arial" w:eastAsia="Arial" w:hAnsi="Arial" w:cs="Arial"/>
          <w:color w:val="010000"/>
          <w:sz w:val="20"/>
          <w:szCs w:val="20"/>
        </w:rPr>
      </w:pPr>
      <w:r w:rsidRPr="008139DD">
        <w:rPr>
          <w:rFonts w:ascii="Arial" w:hAnsi="Arial" w:cs="Arial"/>
          <w:color w:val="010000"/>
          <w:sz w:val="20"/>
          <w:szCs w:val="20"/>
        </w:rPr>
        <w:lastRenderedPageBreak/>
        <w:t>Salary in 2024: The plan for salary fund of the labor in the list (excluding remuneration of the Board of Directors, Supervisory Board, Secretary and Project Management Board salary) is: VND 4,053 million;</w:t>
      </w:r>
    </w:p>
    <w:p w14:paraId="5098B5F1" w14:textId="77777777" w:rsidR="00B34B04" w:rsidRPr="008139DD" w:rsidRDefault="00611E6C" w:rsidP="008139DD">
      <w:pPr>
        <w:pStyle w:val="ListParagraph"/>
        <w:numPr>
          <w:ilvl w:val="0"/>
          <w:numId w:val="8"/>
        </w:numPr>
        <w:pBdr>
          <w:top w:val="nil"/>
          <w:left w:val="nil"/>
          <w:bottom w:val="nil"/>
          <w:right w:val="nil"/>
          <w:between w:val="nil"/>
        </w:pBdr>
        <w:tabs>
          <w:tab w:val="left" w:pos="270"/>
        </w:tabs>
        <w:spacing w:after="120" w:line="360" w:lineRule="auto"/>
        <w:ind w:left="0" w:firstLine="0"/>
        <w:contextualSpacing w:val="0"/>
        <w:jc w:val="both"/>
        <w:rPr>
          <w:rFonts w:ascii="Arial" w:eastAsia="Arial" w:hAnsi="Arial" w:cs="Arial"/>
          <w:color w:val="010000"/>
          <w:sz w:val="20"/>
          <w:szCs w:val="20"/>
        </w:rPr>
      </w:pPr>
      <w:r w:rsidRPr="008139DD">
        <w:rPr>
          <w:rFonts w:ascii="Arial" w:hAnsi="Arial" w:cs="Arial"/>
          <w:color w:val="010000"/>
          <w:sz w:val="20"/>
          <w:szCs w:val="20"/>
        </w:rPr>
        <w:t>Remuneration 2024: The remuneration plan for the Board of Directors, Supervisory Board, and Company Secretary in 2024 is: VND 264 million;</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4"/>
        <w:gridCol w:w="2691"/>
        <w:gridCol w:w="1917"/>
        <w:gridCol w:w="1767"/>
        <w:gridCol w:w="1888"/>
      </w:tblGrid>
      <w:tr w:rsidR="00B34B04" w:rsidRPr="008139DD" w14:paraId="1F84F6C8" w14:textId="77777777" w:rsidTr="00611E6C">
        <w:tc>
          <w:tcPr>
            <w:tcW w:w="418" w:type="pct"/>
            <w:shd w:val="clear" w:color="auto" w:fill="auto"/>
            <w:tcMar>
              <w:top w:w="0" w:type="dxa"/>
              <w:bottom w:w="0" w:type="dxa"/>
            </w:tcMar>
            <w:vAlign w:val="center"/>
          </w:tcPr>
          <w:p w14:paraId="0D88B77E"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No.</w:t>
            </w:r>
          </w:p>
        </w:tc>
        <w:tc>
          <w:tcPr>
            <w:tcW w:w="1492" w:type="pct"/>
            <w:shd w:val="clear" w:color="auto" w:fill="auto"/>
            <w:tcMar>
              <w:top w:w="0" w:type="dxa"/>
              <w:bottom w:w="0" w:type="dxa"/>
            </w:tcMar>
            <w:vAlign w:val="center"/>
          </w:tcPr>
          <w:p w14:paraId="50F4278D"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Content</w:t>
            </w:r>
          </w:p>
        </w:tc>
        <w:tc>
          <w:tcPr>
            <w:tcW w:w="1063" w:type="pct"/>
            <w:shd w:val="clear" w:color="auto" w:fill="auto"/>
            <w:tcMar>
              <w:top w:w="0" w:type="dxa"/>
              <w:bottom w:w="0" w:type="dxa"/>
            </w:tcMar>
            <w:vAlign w:val="center"/>
          </w:tcPr>
          <w:p w14:paraId="419E30B4"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Remuneration (01 month)</w:t>
            </w:r>
          </w:p>
        </w:tc>
        <w:tc>
          <w:tcPr>
            <w:tcW w:w="980" w:type="pct"/>
            <w:shd w:val="clear" w:color="auto" w:fill="auto"/>
            <w:tcMar>
              <w:top w:w="0" w:type="dxa"/>
              <w:bottom w:w="0" w:type="dxa"/>
            </w:tcMar>
            <w:vAlign w:val="center"/>
          </w:tcPr>
          <w:p w14:paraId="6CBF331E"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A year (12 months)</w:t>
            </w:r>
          </w:p>
        </w:tc>
        <w:tc>
          <w:tcPr>
            <w:tcW w:w="1047" w:type="pct"/>
            <w:shd w:val="clear" w:color="auto" w:fill="auto"/>
            <w:tcMar>
              <w:top w:w="0" w:type="dxa"/>
              <w:bottom w:w="0" w:type="dxa"/>
            </w:tcMar>
            <w:vAlign w:val="center"/>
          </w:tcPr>
          <w:p w14:paraId="7E18FBE8"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Note</w:t>
            </w:r>
          </w:p>
        </w:tc>
      </w:tr>
      <w:tr w:rsidR="00B34B04" w:rsidRPr="008139DD" w14:paraId="0506D910" w14:textId="77777777" w:rsidTr="00611E6C">
        <w:tc>
          <w:tcPr>
            <w:tcW w:w="418" w:type="pct"/>
            <w:shd w:val="clear" w:color="auto" w:fill="auto"/>
            <w:tcMar>
              <w:top w:w="0" w:type="dxa"/>
              <w:bottom w:w="0" w:type="dxa"/>
            </w:tcMar>
            <w:vAlign w:val="center"/>
          </w:tcPr>
          <w:p w14:paraId="4AFC281A"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1</w:t>
            </w:r>
          </w:p>
        </w:tc>
        <w:tc>
          <w:tcPr>
            <w:tcW w:w="1492" w:type="pct"/>
            <w:shd w:val="clear" w:color="auto" w:fill="auto"/>
            <w:tcMar>
              <w:top w:w="0" w:type="dxa"/>
              <w:bottom w:w="0" w:type="dxa"/>
            </w:tcMar>
            <w:vAlign w:val="center"/>
          </w:tcPr>
          <w:p w14:paraId="469B584B"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Chair of the Board of Directors</w:t>
            </w:r>
          </w:p>
        </w:tc>
        <w:tc>
          <w:tcPr>
            <w:tcW w:w="1063" w:type="pct"/>
            <w:shd w:val="clear" w:color="auto" w:fill="auto"/>
            <w:tcMar>
              <w:top w:w="0" w:type="dxa"/>
              <w:bottom w:w="0" w:type="dxa"/>
            </w:tcMar>
            <w:vAlign w:val="center"/>
          </w:tcPr>
          <w:p w14:paraId="50970FD5"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5,000,000</w:t>
            </w:r>
          </w:p>
        </w:tc>
        <w:tc>
          <w:tcPr>
            <w:tcW w:w="980" w:type="pct"/>
            <w:shd w:val="clear" w:color="auto" w:fill="auto"/>
            <w:tcMar>
              <w:top w:w="0" w:type="dxa"/>
              <w:bottom w:w="0" w:type="dxa"/>
            </w:tcMar>
            <w:vAlign w:val="center"/>
          </w:tcPr>
          <w:p w14:paraId="4E474F5F"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60,000,000</w:t>
            </w:r>
          </w:p>
        </w:tc>
        <w:tc>
          <w:tcPr>
            <w:tcW w:w="1047" w:type="pct"/>
            <w:shd w:val="clear" w:color="auto" w:fill="auto"/>
            <w:tcMar>
              <w:top w:w="0" w:type="dxa"/>
              <w:bottom w:w="0" w:type="dxa"/>
            </w:tcMar>
            <w:vAlign w:val="center"/>
          </w:tcPr>
          <w:p w14:paraId="20BCC60E"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r w:rsidR="00B34B04" w:rsidRPr="008139DD" w14:paraId="7BE37EE9" w14:textId="77777777" w:rsidTr="00611E6C">
        <w:tc>
          <w:tcPr>
            <w:tcW w:w="418" w:type="pct"/>
            <w:shd w:val="clear" w:color="auto" w:fill="auto"/>
            <w:tcMar>
              <w:top w:w="0" w:type="dxa"/>
              <w:bottom w:w="0" w:type="dxa"/>
            </w:tcMar>
            <w:vAlign w:val="center"/>
          </w:tcPr>
          <w:p w14:paraId="72C1E359"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2</w:t>
            </w:r>
          </w:p>
        </w:tc>
        <w:tc>
          <w:tcPr>
            <w:tcW w:w="1492" w:type="pct"/>
            <w:shd w:val="clear" w:color="auto" w:fill="auto"/>
            <w:tcMar>
              <w:top w:w="0" w:type="dxa"/>
              <w:bottom w:w="0" w:type="dxa"/>
            </w:tcMar>
            <w:vAlign w:val="center"/>
          </w:tcPr>
          <w:p w14:paraId="133BB170"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Member of the Board of Directors</w:t>
            </w:r>
          </w:p>
        </w:tc>
        <w:tc>
          <w:tcPr>
            <w:tcW w:w="1063" w:type="pct"/>
            <w:shd w:val="clear" w:color="auto" w:fill="auto"/>
            <w:tcMar>
              <w:top w:w="0" w:type="dxa"/>
              <w:bottom w:w="0" w:type="dxa"/>
            </w:tcMar>
            <w:vAlign w:val="center"/>
          </w:tcPr>
          <w:p w14:paraId="7412E2F0"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8,000,000</w:t>
            </w:r>
          </w:p>
        </w:tc>
        <w:tc>
          <w:tcPr>
            <w:tcW w:w="980" w:type="pct"/>
            <w:shd w:val="clear" w:color="auto" w:fill="auto"/>
            <w:tcMar>
              <w:top w:w="0" w:type="dxa"/>
              <w:bottom w:w="0" w:type="dxa"/>
            </w:tcMar>
            <w:vAlign w:val="center"/>
          </w:tcPr>
          <w:p w14:paraId="1398F572"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96,000,000</w:t>
            </w:r>
          </w:p>
        </w:tc>
        <w:tc>
          <w:tcPr>
            <w:tcW w:w="1047" w:type="pct"/>
            <w:shd w:val="clear" w:color="auto" w:fill="auto"/>
            <w:tcMar>
              <w:top w:w="0" w:type="dxa"/>
              <w:bottom w:w="0" w:type="dxa"/>
            </w:tcMar>
            <w:vAlign w:val="center"/>
          </w:tcPr>
          <w:p w14:paraId="6E0CCB63" w14:textId="0AD29AB6" w:rsidR="00B34B04" w:rsidRPr="008139DD" w:rsidRDefault="008139DD"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Pr>
                <w:rFonts w:ascii="Arial" w:hAnsi="Arial" w:cs="Arial"/>
                <w:color w:val="010000"/>
                <w:sz w:val="20"/>
                <w:szCs w:val="20"/>
              </w:rPr>
              <w:t>2 members</w:t>
            </w:r>
          </w:p>
        </w:tc>
      </w:tr>
      <w:tr w:rsidR="00B34B04" w:rsidRPr="008139DD" w14:paraId="3DF0F8C1" w14:textId="77777777" w:rsidTr="008139DD">
        <w:trPr>
          <w:trHeight w:val="863"/>
        </w:trPr>
        <w:tc>
          <w:tcPr>
            <w:tcW w:w="418" w:type="pct"/>
            <w:shd w:val="clear" w:color="auto" w:fill="auto"/>
            <w:tcMar>
              <w:top w:w="0" w:type="dxa"/>
              <w:bottom w:w="0" w:type="dxa"/>
            </w:tcMar>
            <w:vAlign w:val="center"/>
          </w:tcPr>
          <w:p w14:paraId="6188AADA"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3</w:t>
            </w:r>
          </w:p>
        </w:tc>
        <w:tc>
          <w:tcPr>
            <w:tcW w:w="1492" w:type="pct"/>
            <w:shd w:val="clear" w:color="auto" w:fill="auto"/>
            <w:tcMar>
              <w:top w:w="0" w:type="dxa"/>
              <w:bottom w:w="0" w:type="dxa"/>
            </w:tcMar>
            <w:vAlign w:val="center"/>
          </w:tcPr>
          <w:p w14:paraId="530F50ED"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The Secretariat of the Board of Directors</w:t>
            </w:r>
          </w:p>
        </w:tc>
        <w:tc>
          <w:tcPr>
            <w:tcW w:w="1063" w:type="pct"/>
            <w:shd w:val="clear" w:color="auto" w:fill="auto"/>
            <w:tcMar>
              <w:top w:w="0" w:type="dxa"/>
              <w:bottom w:w="0" w:type="dxa"/>
            </w:tcMar>
            <w:vAlign w:val="center"/>
          </w:tcPr>
          <w:p w14:paraId="0DA064E0"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2,000,000</w:t>
            </w:r>
          </w:p>
        </w:tc>
        <w:tc>
          <w:tcPr>
            <w:tcW w:w="980" w:type="pct"/>
            <w:shd w:val="clear" w:color="auto" w:fill="auto"/>
            <w:tcMar>
              <w:top w:w="0" w:type="dxa"/>
              <w:bottom w:w="0" w:type="dxa"/>
            </w:tcMar>
            <w:vAlign w:val="center"/>
          </w:tcPr>
          <w:p w14:paraId="5D4A9182"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24,000,000</w:t>
            </w:r>
          </w:p>
        </w:tc>
        <w:tc>
          <w:tcPr>
            <w:tcW w:w="1047" w:type="pct"/>
            <w:shd w:val="clear" w:color="auto" w:fill="auto"/>
            <w:tcMar>
              <w:top w:w="0" w:type="dxa"/>
              <w:bottom w:w="0" w:type="dxa"/>
            </w:tcMar>
            <w:vAlign w:val="center"/>
          </w:tcPr>
          <w:p w14:paraId="10BD018B"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r w:rsidR="00B34B04" w:rsidRPr="008139DD" w14:paraId="4126DD57" w14:textId="77777777" w:rsidTr="00611E6C">
        <w:tc>
          <w:tcPr>
            <w:tcW w:w="418" w:type="pct"/>
            <w:shd w:val="clear" w:color="auto" w:fill="auto"/>
            <w:tcMar>
              <w:top w:w="0" w:type="dxa"/>
              <w:bottom w:w="0" w:type="dxa"/>
            </w:tcMar>
            <w:vAlign w:val="center"/>
          </w:tcPr>
          <w:p w14:paraId="6083D3FC"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4</w:t>
            </w:r>
          </w:p>
        </w:tc>
        <w:tc>
          <w:tcPr>
            <w:tcW w:w="1492" w:type="pct"/>
            <w:shd w:val="clear" w:color="auto" w:fill="auto"/>
            <w:tcMar>
              <w:top w:w="0" w:type="dxa"/>
              <w:bottom w:w="0" w:type="dxa"/>
            </w:tcMar>
            <w:vAlign w:val="center"/>
          </w:tcPr>
          <w:p w14:paraId="3C685C83"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Chief of the Supervisory Board</w:t>
            </w:r>
          </w:p>
        </w:tc>
        <w:tc>
          <w:tcPr>
            <w:tcW w:w="1063" w:type="pct"/>
            <w:shd w:val="clear" w:color="auto" w:fill="auto"/>
            <w:tcMar>
              <w:top w:w="0" w:type="dxa"/>
              <w:bottom w:w="0" w:type="dxa"/>
            </w:tcMar>
            <w:vAlign w:val="center"/>
          </w:tcPr>
          <w:p w14:paraId="0AB1F1FF"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3,000,000</w:t>
            </w:r>
          </w:p>
        </w:tc>
        <w:tc>
          <w:tcPr>
            <w:tcW w:w="980" w:type="pct"/>
            <w:shd w:val="clear" w:color="auto" w:fill="auto"/>
            <w:tcMar>
              <w:top w:w="0" w:type="dxa"/>
              <w:bottom w:w="0" w:type="dxa"/>
            </w:tcMar>
            <w:vAlign w:val="center"/>
          </w:tcPr>
          <w:p w14:paraId="679D8665"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36,000,000</w:t>
            </w:r>
          </w:p>
        </w:tc>
        <w:tc>
          <w:tcPr>
            <w:tcW w:w="1047" w:type="pct"/>
            <w:shd w:val="clear" w:color="auto" w:fill="auto"/>
            <w:tcMar>
              <w:top w:w="0" w:type="dxa"/>
              <w:bottom w:w="0" w:type="dxa"/>
            </w:tcMar>
            <w:vAlign w:val="center"/>
          </w:tcPr>
          <w:p w14:paraId="2139CAD4"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r w:rsidR="00B34B04" w:rsidRPr="008139DD" w14:paraId="4AB2244A" w14:textId="77777777" w:rsidTr="00611E6C">
        <w:tc>
          <w:tcPr>
            <w:tcW w:w="418" w:type="pct"/>
            <w:shd w:val="clear" w:color="auto" w:fill="auto"/>
            <w:tcMar>
              <w:top w:w="0" w:type="dxa"/>
              <w:bottom w:w="0" w:type="dxa"/>
            </w:tcMar>
            <w:vAlign w:val="center"/>
          </w:tcPr>
          <w:p w14:paraId="0B062089"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5</w:t>
            </w:r>
          </w:p>
        </w:tc>
        <w:tc>
          <w:tcPr>
            <w:tcW w:w="1492" w:type="pct"/>
            <w:shd w:val="clear" w:color="auto" w:fill="auto"/>
            <w:tcMar>
              <w:top w:w="0" w:type="dxa"/>
              <w:bottom w:w="0" w:type="dxa"/>
            </w:tcMar>
            <w:vAlign w:val="center"/>
          </w:tcPr>
          <w:p w14:paraId="051AD7A7"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Members of the Supervisory Board:</w:t>
            </w:r>
          </w:p>
        </w:tc>
        <w:tc>
          <w:tcPr>
            <w:tcW w:w="1063" w:type="pct"/>
            <w:shd w:val="clear" w:color="auto" w:fill="auto"/>
            <w:tcMar>
              <w:top w:w="0" w:type="dxa"/>
              <w:bottom w:w="0" w:type="dxa"/>
            </w:tcMar>
            <w:vAlign w:val="center"/>
          </w:tcPr>
          <w:p w14:paraId="71CFD7C3"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4,000,000</w:t>
            </w:r>
          </w:p>
        </w:tc>
        <w:tc>
          <w:tcPr>
            <w:tcW w:w="980" w:type="pct"/>
            <w:shd w:val="clear" w:color="auto" w:fill="auto"/>
            <w:tcMar>
              <w:top w:w="0" w:type="dxa"/>
              <w:bottom w:w="0" w:type="dxa"/>
            </w:tcMar>
            <w:vAlign w:val="center"/>
          </w:tcPr>
          <w:p w14:paraId="4D955996"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48,000,000</w:t>
            </w:r>
          </w:p>
        </w:tc>
        <w:tc>
          <w:tcPr>
            <w:tcW w:w="1047" w:type="pct"/>
            <w:shd w:val="clear" w:color="auto" w:fill="auto"/>
            <w:tcMar>
              <w:top w:w="0" w:type="dxa"/>
              <w:bottom w:w="0" w:type="dxa"/>
            </w:tcMar>
            <w:vAlign w:val="center"/>
          </w:tcPr>
          <w:p w14:paraId="759AB22B"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2 members:</w:t>
            </w:r>
          </w:p>
        </w:tc>
      </w:tr>
      <w:tr w:rsidR="00B34B04" w:rsidRPr="008139DD" w14:paraId="1A9B014F" w14:textId="77777777" w:rsidTr="00611E6C">
        <w:tc>
          <w:tcPr>
            <w:tcW w:w="418" w:type="pct"/>
            <w:shd w:val="clear" w:color="auto" w:fill="auto"/>
            <w:tcMar>
              <w:top w:w="0" w:type="dxa"/>
              <w:bottom w:w="0" w:type="dxa"/>
            </w:tcMar>
            <w:vAlign w:val="center"/>
          </w:tcPr>
          <w:p w14:paraId="2F2710B6"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c>
          <w:tcPr>
            <w:tcW w:w="1492" w:type="pct"/>
            <w:shd w:val="clear" w:color="auto" w:fill="auto"/>
            <w:tcMar>
              <w:top w:w="0" w:type="dxa"/>
              <w:bottom w:w="0" w:type="dxa"/>
            </w:tcMar>
            <w:vAlign w:val="center"/>
          </w:tcPr>
          <w:p w14:paraId="08B8EA31"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Total</w:t>
            </w:r>
          </w:p>
        </w:tc>
        <w:tc>
          <w:tcPr>
            <w:tcW w:w="1063" w:type="pct"/>
            <w:shd w:val="clear" w:color="auto" w:fill="auto"/>
            <w:tcMar>
              <w:top w:w="0" w:type="dxa"/>
              <w:bottom w:w="0" w:type="dxa"/>
            </w:tcMar>
            <w:vAlign w:val="center"/>
          </w:tcPr>
          <w:p w14:paraId="38FD05A2"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22,000,000</w:t>
            </w:r>
          </w:p>
        </w:tc>
        <w:tc>
          <w:tcPr>
            <w:tcW w:w="980" w:type="pct"/>
            <w:shd w:val="clear" w:color="auto" w:fill="auto"/>
            <w:tcMar>
              <w:top w:w="0" w:type="dxa"/>
              <w:bottom w:w="0" w:type="dxa"/>
            </w:tcMar>
            <w:vAlign w:val="center"/>
          </w:tcPr>
          <w:p w14:paraId="5DCDFBA8" w14:textId="77777777" w:rsidR="00B34B04" w:rsidRPr="008139DD" w:rsidRDefault="00611E6C" w:rsidP="008139DD">
            <w:pPr>
              <w:pBdr>
                <w:top w:val="nil"/>
                <w:left w:val="nil"/>
                <w:bottom w:val="nil"/>
                <w:right w:val="nil"/>
                <w:between w:val="nil"/>
              </w:pBdr>
              <w:tabs>
                <w:tab w:val="left" w:pos="270"/>
              </w:tabs>
              <w:spacing w:after="120" w:line="360" w:lineRule="auto"/>
              <w:jc w:val="center"/>
              <w:rPr>
                <w:rFonts w:ascii="Arial" w:eastAsia="Arial" w:hAnsi="Arial" w:cs="Arial"/>
                <w:color w:val="010000"/>
                <w:sz w:val="20"/>
                <w:szCs w:val="20"/>
              </w:rPr>
            </w:pPr>
            <w:r w:rsidRPr="008139DD">
              <w:rPr>
                <w:rFonts w:ascii="Arial" w:hAnsi="Arial" w:cs="Arial"/>
                <w:color w:val="010000"/>
                <w:sz w:val="20"/>
                <w:szCs w:val="20"/>
              </w:rPr>
              <w:t>264,000,000</w:t>
            </w:r>
          </w:p>
        </w:tc>
        <w:tc>
          <w:tcPr>
            <w:tcW w:w="1047" w:type="pct"/>
            <w:shd w:val="clear" w:color="auto" w:fill="auto"/>
            <w:tcMar>
              <w:top w:w="0" w:type="dxa"/>
              <w:bottom w:w="0" w:type="dxa"/>
            </w:tcMar>
            <w:vAlign w:val="center"/>
          </w:tcPr>
          <w:p w14:paraId="423C33C6" w14:textId="77777777" w:rsidR="00B34B04" w:rsidRPr="008139DD" w:rsidRDefault="00B34B04" w:rsidP="008139DD">
            <w:pPr>
              <w:tabs>
                <w:tab w:val="left" w:pos="270"/>
              </w:tabs>
              <w:spacing w:after="120" w:line="360" w:lineRule="auto"/>
              <w:jc w:val="center"/>
              <w:rPr>
                <w:rFonts w:ascii="Arial" w:eastAsia="Arial" w:hAnsi="Arial" w:cs="Arial"/>
                <w:color w:val="010000"/>
                <w:sz w:val="20"/>
                <w:szCs w:val="20"/>
              </w:rPr>
            </w:pPr>
          </w:p>
        </w:tc>
      </w:tr>
    </w:tbl>
    <w:p w14:paraId="478DE706" w14:textId="4678913D"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 xml:space="preserve">Other expenses for the activities of the Board of Directors and the Supervisory Board are implemented </w:t>
      </w:r>
      <w:r w:rsidR="008139DD">
        <w:rPr>
          <w:rFonts w:ascii="Arial" w:hAnsi="Arial" w:cs="Arial"/>
          <w:color w:val="010000"/>
          <w:sz w:val="20"/>
          <w:szCs w:val="20"/>
        </w:rPr>
        <w:t>following</w:t>
      </w:r>
      <w:r w:rsidRPr="008139DD">
        <w:rPr>
          <w:rFonts w:ascii="Arial" w:hAnsi="Arial" w:cs="Arial"/>
          <w:color w:val="010000"/>
          <w:sz w:val="20"/>
          <w:szCs w:val="20"/>
        </w:rPr>
        <w:t xml:space="preserve"> the provisions of law and the Company's Charter.</w:t>
      </w:r>
    </w:p>
    <w:p w14:paraId="29E4BB48"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Article 7: - Approve profit distribution and dividends in 2023: No dividend</w:t>
      </w:r>
    </w:p>
    <w:p w14:paraId="46F1746D" w14:textId="1A68ACA6" w:rsidR="00B34B04" w:rsidRPr="008139DD" w:rsidRDefault="00611E6C" w:rsidP="008139DD">
      <w:pPr>
        <w:pStyle w:val="ListParagraph"/>
        <w:numPr>
          <w:ilvl w:val="0"/>
          <w:numId w:val="8"/>
        </w:numPr>
        <w:pBdr>
          <w:top w:val="nil"/>
          <w:left w:val="nil"/>
          <w:bottom w:val="nil"/>
          <w:right w:val="nil"/>
          <w:between w:val="nil"/>
        </w:pBdr>
        <w:tabs>
          <w:tab w:val="left" w:pos="270"/>
        </w:tabs>
        <w:spacing w:after="120" w:line="360" w:lineRule="auto"/>
        <w:ind w:left="0" w:firstLine="0"/>
        <w:contextualSpacing w:val="0"/>
        <w:jc w:val="both"/>
        <w:rPr>
          <w:rFonts w:ascii="Arial" w:eastAsia="Arial" w:hAnsi="Arial" w:cs="Arial"/>
          <w:color w:val="010000"/>
          <w:sz w:val="20"/>
          <w:szCs w:val="20"/>
        </w:rPr>
      </w:pPr>
      <w:r w:rsidRPr="008139DD">
        <w:rPr>
          <w:rFonts w:ascii="Arial" w:hAnsi="Arial" w:cs="Arial"/>
          <w:color w:val="010000"/>
          <w:sz w:val="20"/>
          <w:szCs w:val="20"/>
        </w:rPr>
        <w:t>Approve the dividend payment plan in 2024</w:t>
      </w:r>
      <w:r w:rsidR="008139DD">
        <w:rPr>
          <w:rFonts w:ascii="Arial" w:hAnsi="Arial" w:cs="Arial"/>
          <w:color w:val="010000"/>
          <w:sz w:val="20"/>
          <w:szCs w:val="20"/>
        </w:rPr>
        <w:t>:</w:t>
      </w:r>
      <w:r w:rsidRPr="008139DD">
        <w:rPr>
          <w:rFonts w:ascii="Arial" w:hAnsi="Arial" w:cs="Arial"/>
          <w:color w:val="010000"/>
          <w:sz w:val="20"/>
          <w:szCs w:val="20"/>
        </w:rPr>
        <w:t xml:space="preserve"> No dividend</w:t>
      </w:r>
    </w:p>
    <w:p w14:paraId="380C4713"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Article 8: Approve the draft Working Regulations of the Company's Supervisory Board, including 7 chapters and 22 articles, (with accompanying Meeting documents)</w:t>
      </w:r>
    </w:p>
    <w:p w14:paraId="4A0F76B3" w14:textId="35C43EA5"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 xml:space="preserve">Article 9: Approve the authorization for the Board of Directors to select an auditing unit for the Financial Statements 2024 according to </w:t>
      </w:r>
      <w:r w:rsidR="005E3E66">
        <w:rPr>
          <w:rFonts w:ascii="Arial" w:hAnsi="Arial" w:cs="Arial"/>
          <w:color w:val="010000"/>
          <w:sz w:val="20"/>
          <w:szCs w:val="20"/>
        </w:rPr>
        <w:t>Report</w:t>
      </w:r>
      <w:bookmarkStart w:id="0" w:name="_GoBack"/>
      <w:bookmarkEnd w:id="0"/>
      <w:r w:rsidRPr="008139DD">
        <w:rPr>
          <w:rFonts w:ascii="Arial" w:hAnsi="Arial" w:cs="Arial"/>
          <w:color w:val="010000"/>
          <w:sz w:val="20"/>
          <w:szCs w:val="20"/>
        </w:rPr>
        <w:t xml:space="preserve"> No. 01 of the Supervisory Board (attached to the meeting documents).</w:t>
      </w:r>
    </w:p>
    <w:p w14:paraId="4E497FDA"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Article 10: The Meeting approved the full text of the Minutes and General Mandate of the Meeting.</w:t>
      </w:r>
    </w:p>
    <w:p w14:paraId="74BAAB54" w14:textId="77777777" w:rsidR="00B34B04" w:rsidRPr="008139DD" w:rsidRDefault="00611E6C" w:rsidP="008139DD">
      <w:pPr>
        <w:pBdr>
          <w:top w:val="nil"/>
          <w:left w:val="nil"/>
          <w:bottom w:val="nil"/>
          <w:right w:val="nil"/>
          <w:between w:val="nil"/>
        </w:pBdr>
        <w:tabs>
          <w:tab w:val="left" w:pos="270"/>
        </w:tabs>
        <w:spacing w:after="120" w:line="360" w:lineRule="auto"/>
        <w:jc w:val="both"/>
        <w:rPr>
          <w:rFonts w:ascii="Arial" w:eastAsia="Arial" w:hAnsi="Arial" w:cs="Arial"/>
          <w:color w:val="010000"/>
          <w:sz w:val="20"/>
          <w:szCs w:val="20"/>
        </w:rPr>
      </w:pPr>
      <w:r w:rsidRPr="008139DD">
        <w:rPr>
          <w:rFonts w:ascii="Arial" w:hAnsi="Arial" w:cs="Arial"/>
          <w:color w:val="010000"/>
          <w:sz w:val="20"/>
          <w:szCs w:val="20"/>
        </w:rPr>
        <w:t>Article 11: Terms of enforcement: Board of Directors, Supervisory Board, Manager of the Company, shareholders of the Company; Relevant units and individuals are responsible for implementing this General Mandate, complying with the provisions of Law and the Company's Charter.</w:t>
      </w:r>
    </w:p>
    <w:sectPr w:rsidR="00B34B04" w:rsidRPr="008139DD" w:rsidSect="00611E6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Aptos Display">
    <w:altName w:val="Cambria"/>
    <w:panose1 w:val="00000000000000000000"/>
    <w:charset w:val="00"/>
    <w:family w:val="roman"/>
    <w:notTrueType/>
    <w:pitch w:val="default"/>
  </w:font>
  <w:font w:name="等线">
    <w:panose1 w:val="00000000000000000000"/>
    <w:charset w:val="80"/>
    <w:family w:val="roman"/>
    <w:notTrueType/>
    <w:pitch w:val="default"/>
  </w:font>
  <w:font w:name="Apto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2184"/>
    <w:multiLevelType w:val="multilevel"/>
    <w:tmpl w:val="F38CFD9E"/>
    <w:lvl w:ilvl="0">
      <w:start w:val="2"/>
      <w:numFmt w:val="decimal"/>
      <w:lvlText w:val="%1."/>
      <w:lvlJc w:val="left"/>
      <w:pPr>
        <w:ind w:left="0" w:firstLine="0"/>
      </w:pPr>
      <w:rPr>
        <w:rFonts w:ascii="Arial" w:eastAsia="Arial" w:hAnsi="Arial" w:cs="Arial"/>
        <w:b w:val="0"/>
        <w:i w:val="0"/>
        <w:sz w:val="20"/>
        <w:szCs w:val="20"/>
        <w:u w:val="no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start w:val="1"/>
      <w:numFmt w:val="decimal"/>
      <w:lvlText w:val="%1.%2.%3"/>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39F6F0B"/>
    <w:multiLevelType w:val="multilevel"/>
    <w:tmpl w:val="9502FFE4"/>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3138CE"/>
    <w:multiLevelType w:val="hybridMultilevel"/>
    <w:tmpl w:val="0254A4AC"/>
    <w:lvl w:ilvl="0" w:tplc="CCBE2E52">
      <w:numFmt w:val="bullet"/>
      <w:lvlText w:val="-"/>
      <w:lvlJc w:val="left"/>
      <w:pPr>
        <w:ind w:left="720" w:hanging="360"/>
      </w:pPr>
      <w:rPr>
        <w:rFonts w:ascii="Arial" w:eastAsia="Arial" w:hAnsi="Arial" w:cs="Arial" w:hint="default"/>
        <w:b w:val="0"/>
        <w:i w:val="0"/>
        <w:sz w:val="20"/>
      </w:rPr>
    </w:lvl>
    <w:lvl w:ilvl="1" w:tplc="8C9806C6" w:tentative="1">
      <w:start w:val="1"/>
      <w:numFmt w:val="bullet"/>
      <w:lvlText w:val="o"/>
      <w:lvlJc w:val="left"/>
      <w:pPr>
        <w:ind w:left="1440" w:hanging="360"/>
      </w:pPr>
      <w:rPr>
        <w:rFonts w:ascii="Courier New" w:hAnsi="Courier New" w:cs="Courier New" w:hint="default"/>
        <w:b w:val="0"/>
        <w:i w:val="0"/>
        <w:sz w:val="20"/>
      </w:rPr>
    </w:lvl>
    <w:lvl w:ilvl="2" w:tplc="FE2A56BA"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22EB1"/>
    <w:multiLevelType w:val="multilevel"/>
    <w:tmpl w:val="169EED2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0E72B66"/>
    <w:multiLevelType w:val="hybridMultilevel"/>
    <w:tmpl w:val="9D7E9592"/>
    <w:lvl w:ilvl="0" w:tplc="BBC63D10">
      <w:numFmt w:val="bullet"/>
      <w:lvlText w:val="-"/>
      <w:lvlJc w:val="left"/>
      <w:pPr>
        <w:ind w:left="720" w:hanging="360"/>
      </w:pPr>
      <w:rPr>
        <w:rFonts w:ascii="Arial" w:eastAsia="Arial" w:hAnsi="Arial" w:cs="Arial" w:hint="default"/>
        <w:b w:val="0"/>
        <w:i w:val="0"/>
        <w:sz w:val="20"/>
      </w:rPr>
    </w:lvl>
    <w:lvl w:ilvl="1" w:tplc="AC7A7236" w:tentative="1">
      <w:start w:val="1"/>
      <w:numFmt w:val="bullet"/>
      <w:lvlText w:val="o"/>
      <w:lvlJc w:val="left"/>
      <w:pPr>
        <w:ind w:left="1440" w:hanging="360"/>
      </w:pPr>
      <w:rPr>
        <w:rFonts w:ascii="Courier New" w:hAnsi="Courier New" w:cs="Courier New" w:hint="default"/>
        <w:b w:val="0"/>
        <w:i w:val="0"/>
        <w:sz w:val="20"/>
      </w:rPr>
    </w:lvl>
    <w:lvl w:ilvl="2" w:tplc="6CA09622"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B04684"/>
    <w:multiLevelType w:val="multilevel"/>
    <w:tmpl w:val="E0F6BA0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2B83CA5"/>
    <w:multiLevelType w:val="hybridMultilevel"/>
    <w:tmpl w:val="561AA51C"/>
    <w:lvl w:ilvl="0" w:tplc="F4504B6C">
      <w:numFmt w:val="bullet"/>
      <w:lvlText w:val="-"/>
      <w:lvlJc w:val="left"/>
      <w:pPr>
        <w:ind w:left="720" w:hanging="360"/>
      </w:pPr>
      <w:rPr>
        <w:rFonts w:ascii="Arial" w:eastAsia="Arial" w:hAnsi="Arial" w:cs="Arial" w:hint="default"/>
        <w:b w:val="0"/>
        <w:i w:val="0"/>
        <w:sz w:val="20"/>
      </w:rPr>
    </w:lvl>
    <w:lvl w:ilvl="1" w:tplc="D826DEEE" w:tentative="1">
      <w:start w:val="1"/>
      <w:numFmt w:val="bullet"/>
      <w:lvlText w:val="o"/>
      <w:lvlJc w:val="left"/>
      <w:pPr>
        <w:ind w:left="1440" w:hanging="360"/>
      </w:pPr>
      <w:rPr>
        <w:rFonts w:ascii="Courier New" w:hAnsi="Courier New" w:cs="Courier New" w:hint="default"/>
        <w:b w:val="0"/>
        <w:i w:val="0"/>
        <w:sz w:val="20"/>
      </w:rPr>
    </w:lvl>
    <w:lvl w:ilvl="2" w:tplc="B4A0CC50" w:tentative="1">
      <w:start w:val="1"/>
      <w:numFmt w:val="bullet"/>
      <w:lvlText w:val=""/>
      <w:lvlJc w:val="left"/>
      <w:pPr>
        <w:ind w:left="2160" w:hanging="360"/>
      </w:pPr>
      <w:rPr>
        <w:rFonts w:ascii="Wingdings" w:hAnsi="Wingdings" w:hint="default"/>
        <w:b w:val="0"/>
        <w:i w:val="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6A2762"/>
    <w:multiLevelType w:val="multilevel"/>
    <w:tmpl w:val="015A21AE"/>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04"/>
    <w:rsid w:val="005E3E66"/>
    <w:rsid w:val="00611E6C"/>
    <w:rsid w:val="006D3C8C"/>
    <w:rsid w:val="00784442"/>
    <w:rsid w:val="008139DD"/>
    <w:rsid w:val="00B34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25447"/>
  <w15:docId w15:val="{F49E7C14-0C57-4C1D-8C66-8DD2EA51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Heading30">
    <w:name w:val="Heading #3_"/>
    <w:basedOn w:val="DefaultParagraphFont"/>
    <w:link w:val="Heading31"/>
    <w:rPr>
      <w:rFonts w:ascii="Times New Roman" w:eastAsia="Times New Roman" w:hAnsi="Times New Roman" w:cs="Times New Roman"/>
      <w:b w:val="0"/>
      <w:bCs w:val="0"/>
      <w:i w:val="0"/>
      <w:iCs w:val="0"/>
      <w:smallCaps w:val="0"/>
      <w:strike w:val="0"/>
      <w:color w:val="F75F74"/>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_"/>
    <w:basedOn w:val="DefaultParagraphFont"/>
    <w:link w:val="Heading21"/>
    <w:rPr>
      <w:rFonts w:ascii="Arial" w:eastAsia="Arial" w:hAnsi="Arial" w:cs="Arial"/>
      <w:b w:val="0"/>
      <w:bCs w:val="0"/>
      <w:i w:val="0"/>
      <w:iCs w:val="0"/>
      <w:smallCaps w:val="0"/>
      <w:strike w:val="0"/>
      <w:color w:val="F75F74"/>
      <w:sz w:val="32"/>
      <w:szCs w:val="32"/>
      <w:u w:val="none"/>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32"/>
      <w:szCs w:val="32"/>
      <w:u w:val="none"/>
    </w:rPr>
  </w:style>
  <w:style w:type="paragraph" w:customStyle="1" w:styleId="Other0">
    <w:name w:val="Other"/>
    <w:basedOn w:val="Normal"/>
    <w:link w:val="Other"/>
    <w:pPr>
      <w:spacing w:line="276" w:lineRule="auto"/>
      <w:ind w:firstLine="220"/>
    </w:pPr>
    <w:rPr>
      <w:rFonts w:ascii="Times New Roman" w:eastAsia="Times New Roman" w:hAnsi="Times New Roman" w:cs="Times New Roman"/>
      <w:sz w:val="26"/>
      <w:szCs w:val="26"/>
    </w:rPr>
  </w:style>
  <w:style w:type="paragraph" w:customStyle="1" w:styleId="Bodytext20">
    <w:name w:val="Body text (2)"/>
    <w:basedOn w:val="Normal"/>
    <w:link w:val="Bodytext2"/>
    <w:pPr>
      <w:spacing w:line="286" w:lineRule="auto"/>
    </w:pPr>
    <w:rPr>
      <w:rFonts w:ascii="Times New Roman" w:eastAsia="Times New Roman" w:hAnsi="Times New Roman" w:cs="Times New Roman"/>
      <w:sz w:val="26"/>
      <w:szCs w:val="26"/>
    </w:rPr>
  </w:style>
  <w:style w:type="paragraph" w:customStyle="1" w:styleId="Tablecaption0">
    <w:name w:val="Table caption"/>
    <w:basedOn w:val="Normal"/>
    <w:link w:val="Tablecaption"/>
    <w:rPr>
      <w:rFonts w:ascii="Times New Roman" w:eastAsia="Times New Roman" w:hAnsi="Times New Roman" w:cs="Times New Roman"/>
      <w:sz w:val="26"/>
      <w:szCs w:val="26"/>
    </w:rPr>
  </w:style>
  <w:style w:type="paragraph" w:customStyle="1" w:styleId="Heading31">
    <w:name w:val="Heading #3"/>
    <w:basedOn w:val="Normal"/>
    <w:link w:val="Heading30"/>
    <w:pPr>
      <w:outlineLvl w:val="2"/>
    </w:pPr>
    <w:rPr>
      <w:rFonts w:ascii="Times New Roman" w:eastAsia="Times New Roman" w:hAnsi="Times New Roman" w:cs="Times New Roman"/>
      <w:color w:val="F75F74"/>
      <w:sz w:val="26"/>
      <w:szCs w:val="26"/>
    </w:rPr>
  </w:style>
  <w:style w:type="paragraph" w:styleId="BodyText">
    <w:name w:val="Body Text"/>
    <w:basedOn w:val="Normal"/>
    <w:link w:val="BodyTextChar"/>
    <w:qFormat/>
    <w:pPr>
      <w:spacing w:line="276" w:lineRule="auto"/>
      <w:ind w:firstLine="220"/>
    </w:pPr>
    <w:rPr>
      <w:rFonts w:ascii="Times New Roman" w:eastAsia="Times New Roman" w:hAnsi="Times New Roman" w:cs="Times New Roman"/>
      <w:sz w:val="26"/>
      <w:szCs w:val="26"/>
    </w:rPr>
  </w:style>
  <w:style w:type="paragraph" w:customStyle="1" w:styleId="Heading21">
    <w:name w:val="Heading #2"/>
    <w:basedOn w:val="Normal"/>
    <w:link w:val="Heading20"/>
    <w:pPr>
      <w:spacing w:line="307" w:lineRule="auto"/>
      <w:jc w:val="center"/>
      <w:outlineLvl w:val="1"/>
    </w:pPr>
    <w:rPr>
      <w:rFonts w:ascii="Arial" w:eastAsia="Arial" w:hAnsi="Arial" w:cs="Arial"/>
      <w:color w:val="F75F74"/>
      <w:sz w:val="32"/>
      <w:szCs w:val="32"/>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paragraph" w:styleId="ListParagraph">
    <w:name w:val="List Paragraph"/>
    <w:basedOn w:val="Normal"/>
    <w:uiPriority w:val="34"/>
    <w:qFormat/>
    <w:rsid w:val="00611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Wa4Me736ZK/mhahEP8Zq2b/qw==">CgMxLjA4AHIhMVV2aTQ2Smd2RlFjZTkycV9INF9vVE82WVNxeC1wMGl3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1090</Words>
  <Characters>5858</Characters>
  <Application>Microsoft Office Word</Application>
  <DocSecurity>0</DocSecurity>
  <Lines>248</Lines>
  <Paragraphs>150</Paragraphs>
  <ScaleCrop>false</ScaleCrop>
  <Company>Microsoft</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8</cp:revision>
  <dcterms:created xsi:type="dcterms:W3CDTF">2024-05-06T01:45:00Z</dcterms:created>
  <dcterms:modified xsi:type="dcterms:W3CDTF">2024-05-07T08:14:00Z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a2176e103559f77ac426af5427e46ba8099df5854d2d9cf2aa9fd6e31bb90065</vt:lpwstr>
  </property>
</Properties>
</file>