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6052" w:rsidRDefault="007D1297" w:rsidP="00C75672">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Pr>
          <w:rFonts w:ascii="Arial" w:hAnsi="Arial"/>
          <w:b/>
          <w:color w:val="010000"/>
          <w:sz w:val="20"/>
        </w:rPr>
        <w:t>CMC: Annual General Mandate 2024</w:t>
      </w:r>
    </w:p>
    <w:p w14:paraId="00000002" w14:textId="77777777" w:rsidR="00346052" w:rsidRDefault="007D1297" w:rsidP="00C7567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On April 29, 2024, CMC Investment JSC announced General Mandate No. 01/NQ- DHDCD as follows: </w:t>
      </w:r>
    </w:p>
    <w:p w14:paraId="00000003" w14:textId="77777777" w:rsidR="00346052" w:rsidRDefault="007D1297" w:rsidP="00C75672">
      <w:pPr>
        <w:pBdr>
          <w:top w:val="nil"/>
          <w:left w:val="nil"/>
          <w:bottom w:val="nil"/>
          <w:right w:val="nil"/>
          <w:between w:val="nil"/>
        </w:pBdr>
        <w:tabs>
          <w:tab w:val="left" w:pos="567"/>
          <w:tab w:val="left" w:pos="2761"/>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production and business, investment results 2023, and the orientation, targets, and measures for results 2024.</w:t>
      </w:r>
      <w:bookmarkStart w:id="0" w:name="_GoBack"/>
      <w:bookmarkEnd w:id="0"/>
    </w:p>
    <w:p w14:paraId="00000004" w14:textId="77777777" w:rsidR="00346052" w:rsidRDefault="007D1297" w:rsidP="00C7567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Main targets:</w:t>
      </w:r>
    </w:p>
    <w:p w14:paraId="00000005" w14:textId="77777777" w:rsidR="00346052" w:rsidRDefault="007D1297" w:rsidP="00C75672">
      <w:pPr>
        <w:numPr>
          <w:ilvl w:val="0"/>
          <w:numId w:val="2"/>
        </w:numPr>
        <w:pBdr>
          <w:top w:val="nil"/>
          <w:left w:val="nil"/>
          <w:bottom w:val="nil"/>
          <w:right w:val="nil"/>
          <w:between w:val="nil"/>
        </w:pBdr>
        <w:tabs>
          <w:tab w:val="left" w:pos="426"/>
          <w:tab w:val="left" w:pos="567"/>
          <w:tab w:val="left" w:pos="8201"/>
          <w:tab w:val="left" w:pos="8726"/>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Total revenue 2023: VND 50,737,981,178</w:t>
      </w:r>
    </w:p>
    <w:p w14:paraId="00000006" w14:textId="77777777" w:rsidR="00346052" w:rsidRDefault="007D1297" w:rsidP="00C75672">
      <w:pPr>
        <w:numPr>
          <w:ilvl w:val="0"/>
          <w:numId w:val="2"/>
        </w:numPr>
        <w:pBdr>
          <w:top w:val="nil"/>
          <w:left w:val="nil"/>
          <w:bottom w:val="nil"/>
          <w:right w:val="nil"/>
          <w:between w:val="nil"/>
        </w:pBdr>
        <w:tabs>
          <w:tab w:val="left" w:pos="426"/>
          <w:tab w:val="left" w:pos="567"/>
          <w:tab w:val="left" w:pos="8201"/>
          <w:tab w:val="left" w:pos="9020"/>
        </w:tabs>
        <w:spacing w:after="120" w:line="360" w:lineRule="auto"/>
        <w:jc w:val="both"/>
        <w:rPr>
          <w:rFonts w:ascii="Arial" w:eastAsia="Arial" w:hAnsi="Arial" w:cs="Arial"/>
          <w:color w:val="010000"/>
          <w:sz w:val="20"/>
          <w:szCs w:val="20"/>
        </w:rPr>
      </w:pPr>
      <w:r>
        <w:rPr>
          <w:rFonts w:ascii="Arial" w:hAnsi="Arial"/>
          <w:color w:val="010000"/>
          <w:sz w:val="20"/>
        </w:rPr>
        <w:t>Profit after tax 2023: VND 697,245,091</w:t>
      </w:r>
    </w:p>
    <w:p w14:paraId="00000007" w14:textId="77777777" w:rsidR="00346052" w:rsidRDefault="007D1297" w:rsidP="00C75672">
      <w:pPr>
        <w:numPr>
          <w:ilvl w:val="0"/>
          <w:numId w:val="2"/>
        </w:numPr>
        <w:pBdr>
          <w:top w:val="nil"/>
          <w:left w:val="nil"/>
          <w:bottom w:val="nil"/>
          <w:right w:val="nil"/>
          <w:between w:val="nil"/>
        </w:pBdr>
        <w:tabs>
          <w:tab w:val="left" w:pos="426"/>
          <w:tab w:val="left" w:pos="567"/>
          <w:tab w:val="left" w:pos="8201"/>
          <w:tab w:val="left" w:pos="8726"/>
        </w:tabs>
        <w:spacing w:after="120" w:line="360" w:lineRule="auto"/>
        <w:jc w:val="both"/>
        <w:rPr>
          <w:rFonts w:ascii="Arial" w:eastAsia="Arial" w:hAnsi="Arial" w:cs="Arial"/>
          <w:color w:val="010000"/>
          <w:sz w:val="20"/>
          <w:szCs w:val="20"/>
        </w:rPr>
      </w:pPr>
      <w:r>
        <w:rPr>
          <w:rFonts w:ascii="Arial" w:hAnsi="Arial"/>
          <w:color w:val="010000"/>
          <w:sz w:val="20"/>
        </w:rPr>
        <w:t>Expected total revenue 2024: VND 50,000,000,000</w:t>
      </w:r>
    </w:p>
    <w:p w14:paraId="00000008" w14:textId="77777777" w:rsidR="00346052" w:rsidRDefault="007D1297" w:rsidP="00C75672">
      <w:pPr>
        <w:numPr>
          <w:ilvl w:val="0"/>
          <w:numId w:val="2"/>
        </w:numPr>
        <w:pBdr>
          <w:top w:val="nil"/>
          <w:left w:val="nil"/>
          <w:bottom w:val="nil"/>
          <w:right w:val="nil"/>
          <w:between w:val="nil"/>
        </w:pBdr>
        <w:tabs>
          <w:tab w:val="left" w:pos="426"/>
          <w:tab w:val="left" w:pos="567"/>
          <w:tab w:val="left" w:pos="8726"/>
        </w:tabs>
        <w:spacing w:after="120" w:line="360" w:lineRule="auto"/>
        <w:jc w:val="both"/>
        <w:rPr>
          <w:rFonts w:ascii="Arial" w:eastAsia="Arial" w:hAnsi="Arial" w:cs="Arial"/>
          <w:color w:val="010000"/>
          <w:sz w:val="20"/>
          <w:szCs w:val="20"/>
        </w:rPr>
      </w:pPr>
      <w:r>
        <w:rPr>
          <w:rFonts w:ascii="Arial" w:hAnsi="Arial"/>
          <w:color w:val="010000"/>
          <w:sz w:val="20"/>
        </w:rPr>
        <w:t>Expected profit before tax 2024: VND 5,000,000,000</w:t>
      </w:r>
    </w:p>
    <w:p w14:paraId="00000009" w14:textId="77777777" w:rsidR="00346052" w:rsidRDefault="007D1297" w:rsidP="00C75672">
      <w:pPr>
        <w:pBdr>
          <w:top w:val="nil"/>
          <w:left w:val="nil"/>
          <w:bottom w:val="nil"/>
          <w:right w:val="nil"/>
          <w:between w:val="nil"/>
        </w:pBdr>
        <w:tabs>
          <w:tab w:val="left" w:pos="567"/>
          <w:tab w:val="left" w:pos="2761"/>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Board of Directors on the company's management situation in 2023 and the orientation for 2024.</w:t>
      </w:r>
    </w:p>
    <w:p w14:paraId="0000000A" w14:textId="77777777" w:rsidR="00346052" w:rsidRDefault="007D1297" w:rsidP="00C75672">
      <w:pPr>
        <w:pBdr>
          <w:top w:val="nil"/>
          <w:left w:val="nil"/>
          <w:bottom w:val="nil"/>
          <w:right w:val="nil"/>
          <w:between w:val="nil"/>
        </w:pBdr>
        <w:tabs>
          <w:tab w:val="left" w:pos="567"/>
          <w:tab w:val="left" w:pos="2761"/>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the activities 2023 of the Supervisory Board and the operational plan for 2024.</w:t>
      </w:r>
    </w:p>
    <w:p w14:paraId="0000000B" w14:textId="77777777" w:rsidR="00346052" w:rsidRDefault="007D1297" w:rsidP="00C75672">
      <w:pPr>
        <w:pBdr>
          <w:top w:val="nil"/>
          <w:left w:val="nil"/>
          <w:bottom w:val="nil"/>
          <w:right w:val="nil"/>
          <w:between w:val="nil"/>
        </w:pBdr>
        <w:tabs>
          <w:tab w:val="left" w:pos="567"/>
          <w:tab w:val="left" w:pos="2770"/>
        </w:tabs>
        <w:spacing w:after="120" w:line="360" w:lineRule="auto"/>
        <w:jc w:val="both"/>
        <w:rPr>
          <w:rFonts w:ascii="Arial" w:eastAsia="Arial" w:hAnsi="Arial" w:cs="Arial"/>
          <w:color w:val="010000"/>
          <w:sz w:val="20"/>
          <w:szCs w:val="20"/>
        </w:rPr>
      </w:pPr>
      <w:r>
        <w:rPr>
          <w:rFonts w:ascii="Arial" w:hAnsi="Arial"/>
          <w:color w:val="010000"/>
          <w:sz w:val="20"/>
        </w:rPr>
        <w:t>Article 4: Approve the Audited Financial Statements 2023.</w:t>
      </w:r>
    </w:p>
    <w:p w14:paraId="0000000C" w14:textId="77777777" w:rsidR="00346052" w:rsidRDefault="007D1297" w:rsidP="00C75672">
      <w:pPr>
        <w:pBdr>
          <w:top w:val="nil"/>
          <w:left w:val="nil"/>
          <w:bottom w:val="nil"/>
          <w:right w:val="nil"/>
          <w:between w:val="nil"/>
        </w:pBdr>
        <w:tabs>
          <w:tab w:val="left" w:pos="567"/>
          <w:tab w:val="left" w:pos="2770"/>
        </w:tabs>
        <w:spacing w:after="120" w:line="360" w:lineRule="auto"/>
        <w:jc w:val="both"/>
        <w:rPr>
          <w:rFonts w:ascii="Arial" w:eastAsia="Arial" w:hAnsi="Arial" w:cs="Arial"/>
          <w:color w:val="010000"/>
          <w:sz w:val="20"/>
          <w:szCs w:val="20"/>
        </w:rPr>
      </w:pPr>
      <w:r>
        <w:rPr>
          <w:rFonts w:ascii="Arial" w:hAnsi="Arial"/>
          <w:color w:val="010000"/>
          <w:sz w:val="20"/>
        </w:rPr>
        <w:t>Article 5: Approve the profit distribution 2023 and the Report on the remuneration for the Board of Directors and the Supervisory Board 2023, as well as the projected remuneration for 2024.</w:t>
      </w:r>
    </w:p>
    <w:p w14:paraId="0000000D" w14:textId="77777777" w:rsidR="00346052" w:rsidRDefault="007D1297" w:rsidP="00C75672">
      <w:pPr>
        <w:numPr>
          <w:ilvl w:val="0"/>
          <w:numId w:val="2"/>
        </w:numPr>
        <w:pBdr>
          <w:top w:val="nil"/>
          <w:left w:val="nil"/>
          <w:bottom w:val="nil"/>
          <w:right w:val="nil"/>
          <w:between w:val="nil"/>
        </w:pBdr>
        <w:tabs>
          <w:tab w:val="left" w:pos="426"/>
          <w:tab w:val="left" w:pos="567"/>
        </w:tabs>
        <w:spacing w:after="120" w:line="360" w:lineRule="auto"/>
        <w:jc w:val="both"/>
        <w:rPr>
          <w:rFonts w:ascii="Arial" w:eastAsia="Arial" w:hAnsi="Arial" w:cs="Arial"/>
          <w:color w:val="010000"/>
          <w:sz w:val="20"/>
          <w:szCs w:val="20"/>
        </w:rPr>
      </w:pPr>
      <w:r>
        <w:rPr>
          <w:rFonts w:ascii="Arial" w:hAnsi="Arial"/>
          <w:color w:val="010000"/>
          <w:sz w:val="20"/>
        </w:rPr>
        <w:t>No profit distribution, appropriation for funds in 2023.</w:t>
      </w:r>
    </w:p>
    <w:p w14:paraId="0000000E" w14:textId="77777777" w:rsidR="00346052" w:rsidRDefault="007D1297" w:rsidP="00C75672">
      <w:pPr>
        <w:numPr>
          <w:ilvl w:val="0"/>
          <w:numId w:val="2"/>
        </w:numPr>
        <w:pBdr>
          <w:top w:val="nil"/>
          <w:left w:val="nil"/>
          <w:bottom w:val="nil"/>
          <w:right w:val="nil"/>
          <w:between w:val="nil"/>
        </w:pBdr>
        <w:tabs>
          <w:tab w:val="left" w:pos="426"/>
          <w:tab w:val="left" w:pos="567"/>
        </w:tabs>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 and the Supervisory Board in 2023: less than VND 80,000,000.</w:t>
      </w:r>
    </w:p>
    <w:p w14:paraId="0000000F" w14:textId="77777777" w:rsidR="00346052" w:rsidRDefault="007D1297" w:rsidP="00C75672">
      <w:pPr>
        <w:numPr>
          <w:ilvl w:val="0"/>
          <w:numId w:val="2"/>
        </w:numPr>
        <w:pBdr>
          <w:top w:val="nil"/>
          <w:left w:val="nil"/>
          <w:bottom w:val="nil"/>
          <w:right w:val="nil"/>
          <w:between w:val="nil"/>
        </w:pBdr>
        <w:tabs>
          <w:tab w:val="left" w:pos="426"/>
          <w:tab w:val="left" w:pos="567"/>
        </w:tabs>
        <w:spacing w:after="120" w:line="360" w:lineRule="auto"/>
        <w:jc w:val="both"/>
        <w:rPr>
          <w:rFonts w:ascii="Arial" w:eastAsia="Arial" w:hAnsi="Arial" w:cs="Arial"/>
          <w:color w:val="010000"/>
          <w:sz w:val="20"/>
          <w:szCs w:val="20"/>
        </w:rPr>
      </w:pPr>
      <w:r>
        <w:rPr>
          <w:rFonts w:ascii="Arial" w:hAnsi="Arial"/>
          <w:color w:val="010000"/>
          <w:sz w:val="20"/>
        </w:rPr>
        <w:t>The remuneration for the Board of Directors and the Supervisory Board 2024 shall not exceed VND 80 million per year.</w:t>
      </w:r>
    </w:p>
    <w:p w14:paraId="00000010" w14:textId="77777777" w:rsidR="00346052" w:rsidRDefault="007D1297" w:rsidP="00C75672">
      <w:pPr>
        <w:pBdr>
          <w:top w:val="nil"/>
          <w:left w:val="nil"/>
          <w:bottom w:val="nil"/>
          <w:right w:val="nil"/>
          <w:between w:val="nil"/>
        </w:pBdr>
        <w:tabs>
          <w:tab w:val="left" w:pos="567"/>
          <w:tab w:val="left" w:pos="2770"/>
        </w:tabs>
        <w:spacing w:after="120" w:line="360" w:lineRule="auto"/>
        <w:jc w:val="both"/>
        <w:rPr>
          <w:rFonts w:ascii="Arial" w:eastAsia="Arial" w:hAnsi="Arial" w:cs="Arial"/>
          <w:color w:val="010000"/>
          <w:sz w:val="20"/>
          <w:szCs w:val="20"/>
        </w:rPr>
      </w:pPr>
      <w:r>
        <w:rPr>
          <w:rFonts w:ascii="Arial" w:hAnsi="Arial"/>
          <w:color w:val="010000"/>
          <w:sz w:val="20"/>
        </w:rPr>
        <w:t>Article 6: Approve the authorization for the Board of Directors to select an audit company in 2024.</w:t>
      </w:r>
    </w:p>
    <w:p w14:paraId="00000011" w14:textId="77777777" w:rsidR="00346052" w:rsidRDefault="007D1297" w:rsidP="00C75672">
      <w:pPr>
        <w:pBdr>
          <w:top w:val="nil"/>
          <w:left w:val="nil"/>
          <w:bottom w:val="nil"/>
          <w:right w:val="nil"/>
          <w:between w:val="nil"/>
        </w:pBdr>
        <w:tabs>
          <w:tab w:val="left" w:pos="567"/>
          <w:tab w:val="left" w:pos="2770"/>
        </w:tabs>
        <w:spacing w:after="120" w:line="360" w:lineRule="auto"/>
        <w:jc w:val="both"/>
        <w:rPr>
          <w:rFonts w:ascii="Arial" w:eastAsia="Arial" w:hAnsi="Arial" w:cs="Arial"/>
          <w:color w:val="010000"/>
          <w:sz w:val="20"/>
          <w:szCs w:val="20"/>
        </w:rPr>
      </w:pPr>
      <w:r>
        <w:rPr>
          <w:rFonts w:ascii="Arial" w:hAnsi="Arial"/>
          <w:color w:val="010000"/>
          <w:sz w:val="20"/>
        </w:rPr>
        <w:t>Article 7: Approve Mr. Ngo Trong Vinh - Chair of the Board of Directors and affiliated persons to acquire transferable voting shares of CMC Investment JSC (security code: CMC) to increase the ownership percentage of shares in the Company to the levels stipulated in Point a, Point b, Clause 1, Article 35 of the Securities Law without having to conduct public offering. Main content as follows:</w:t>
      </w:r>
    </w:p>
    <w:p w14:paraId="00000012" w14:textId="77777777" w:rsidR="00346052" w:rsidRDefault="007D1297" w:rsidP="00C75672">
      <w:pPr>
        <w:numPr>
          <w:ilvl w:val="0"/>
          <w:numId w:val="3"/>
        </w:num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Organizations and individuals exempted from conducting public offering:</w:t>
      </w:r>
    </w:p>
    <w:p w14:paraId="00000013" w14:textId="77777777" w:rsidR="00346052" w:rsidRDefault="007D1297" w:rsidP="00C75672">
      <w:pPr>
        <w:numPr>
          <w:ilvl w:val="0"/>
          <w:numId w:val="4"/>
        </w:num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Mr. Ngo Trong Quang- Member of the Board of Directors</w:t>
      </w:r>
    </w:p>
    <w:p w14:paraId="00000014" w14:textId="710CDA58" w:rsidR="00346052" w:rsidRDefault="007D1297" w:rsidP="00C75672">
      <w:p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Number of shares held: 585,420 shares, at the rate of 12.84%</w:t>
      </w:r>
    </w:p>
    <w:p w14:paraId="00000015" w14:textId="77777777" w:rsidR="00346052" w:rsidRDefault="007D1297" w:rsidP="00C75672">
      <w:pPr>
        <w:numPr>
          <w:ilvl w:val="0"/>
          <w:numId w:val="4"/>
        </w:num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Ms. Ngo Thi Mui- affiliated persons with the Chair of the Board of Directors</w:t>
      </w:r>
    </w:p>
    <w:p w14:paraId="00000016" w14:textId="77777777" w:rsidR="00346052" w:rsidRDefault="007D1297" w:rsidP="00C75672">
      <w:p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Number of shares held: 213,200 shares, at the rate of 4.67%</w:t>
      </w:r>
    </w:p>
    <w:p w14:paraId="00000017" w14:textId="77777777" w:rsidR="00346052" w:rsidRDefault="007D1297" w:rsidP="00C75672">
      <w:pPr>
        <w:numPr>
          <w:ilvl w:val="0"/>
          <w:numId w:val="4"/>
        </w:num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Ngo Thu Huong- existing shareholders</w:t>
      </w:r>
    </w:p>
    <w:p w14:paraId="00000018" w14:textId="77777777" w:rsidR="00346052" w:rsidRDefault="007D1297" w:rsidP="00C75672">
      <w:p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lastRenderedPageBreak/>
        <w:t>Number of shares held: 191,400 shares, at the rate of 4.2%</w:t>
      </w:r>
    </w:p>
    <w:p w14:paraId="00000019" w14:textId="77777777" w:rsidR="00346052" w:rsidRDefault="007D1297" w:rsidP="00C75672">
      <w:pPr>
        <w:numPr>
          <w:ilvl w:val="0"/>
          <w:numId w:val="4"/>
        </w:num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Ngo Phuong Anh- existing shareholders</w:t>
      </w:r>
    </w:p>
    <w:p w14:paraId="0000001A" w14:textId="77777777" w:rsidR="00346052" w:rsidRDefault="007D1297" w:rsidP="00C75672">
      <w:p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Number of shares held: 284,000 shares, at the rate of 6.22%</w:t>
      </w:r>
    </w:p>
    <w:p w14:paraId="0000001B" w14:textId="77777777" w:rsidR="00346052" w:rsidRDefault="007D1297" w:rsidP="00C75672">
      <w:pPr>
        <w:numPr>
          <w:ilvl w:val="0"/>
          <w:numId w:val="4"/>
        </w:num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 xml:space="preserve"> Ngo Thi Thanh Huyen- Major Shareholder</w:t>
      </w:r>
    </w:p>
    <w:p w14:paraId="0000001C" w14:textId="77777777" w:rsidR="00346052" w:rsidRDefault="007D1297" w:rsidP="00C75672">
      <w:p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Number of shares held: 642,400 shares, at the rate of 14.08%</w:t>
      </w:r>
    </w:p>
    <w:p w14:paraId="0000001D" w14:textId="77777777" w:rsidR="00346052" w:rsidRDefault="007D1297" w:rsidP="00C75672">
      <w:pPr>
        <w:numPr>
          <w:ilvl w:val="0"/>
          <w:numId w:val="3"/>
        </w:num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Organizations and individuals purchasing/receiving transfers are not required to conduct public offering.</w:t>
      </w:r>
    </w:p>
    <w:p w14:paraId="0000001E" w14:textId="77777777" w:rsidR="00346052" w:rsidRDefault="007D1297" w:rsidP="00C75672">
      <w:p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7.2.1. Mr. Ngo Trong Vinh- Chair of the Board of Directors</w:t>
      </w:r>
    </w:p>
    <w:p w14:paraId="0000001F" w14:textId="77777777" w:rsidR="00346052" w:rsidRDefault="007D1297" w:rsidP="00C75672">
      <w:pPr>
        <w:numPr>
          <w:ilvl w:val="0"/>
          <w:numId w:val="2"/>
        </w:num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Number of shares held: 1,427,650 shares, at the rate of 31.30%</w:t>
      </w:r>
    </w:p>
    <w:p w14:paraId="00000020" w14:textId="77777777" w:rsidR="00346052" w:rsidRDefault="007D1297" w:rsidP="00C75672">
      <w:pPr>
        <w:numPr>
          <w:ilvl w:val="0"/>
          <w:numId w:val="2"/>
        </w:num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Expected number of shares to purchase: 1,916,420 shares, at the rate of 42.01%</w:t>
      </w:r>
    </w:p>
    <w:p w14:paraId="00000021" w14:textId="77777777" w:rsidR="00346052" w:rsidRDefault="007D1297" w:rsidP="00C75672">
      <w:pPr>
        <w:numPr>
          <w:ilvl w:val="0"/>
          <w:numId w:val="2"/>
        </w:numPr>
        <w:pBdr>
          <w:top w:val="nil"/>
          <w:left w:val="nil"/>
          <w:bottom w:val="nil"/>
          <w:right w:val="nil"/>
          <w:between w:val="nil"/>
        </w:pBdr>
        <w:tabs>
          <w:tab w:val="left" w:pos="567"/>
          <w:tab w:val="left" w:pos="709"/>
          <w:tab w:val="left" w:pos="3516"/>
        </w:tabs>
        <w:spacing w:after="120" w:line="360" w:lineRule="auto"/>
        <w:jc w:val="both"/>
        <w:rPr>
          <w:rFonts w:ascii="Arial" w:eastAsia="Arial" w:hAnsi="Arial" w:cs="Arial"/>
          <w:color w:val="010000"/>
          <w:sz w:val="20"/>
          <w:szCs w:val="20"/>
        </w:rPr>
      </w:pPr>
      <w:r>
        <w:rPr>
          <w:rFonts w:ascii="Arial" w:hAnsi="Arial"/>
          <w:color w:val="010000"/>
          <w:sz w:val="20"/>
        </w:rPr>
        <w:t>Total number of shares expected to be held after purchasing/receiving transfers from shareholders: 3,344,070 shares, at the rate of 73.31%</w:t>
      </w:r>
    </w:p>
    <w:p w14:paraId="00000022" w14:textId="77777777" w:rsidR="00346052" w:rsidRDefault="007D1297" w:rsidP="00C75672">
      <w:pPr>
        <w:numPr>
          <w:ilvl w:val="0"/>
          <w:numId w:val="1"/>
        </w:numPr>
        <w:pBdr>
          <w:top w:val="nil"/>
          <w:left w:val="nil"/>
          <w:bottom w:val="nil"/>
          <w:right w:val="nil"/>
          <w:between w:val="nil"/>
        </w:pBdr>
        <w:tabs>
          <w:tab w:val="left" w:pos="567"/>
          <w:tab w:val="left" w:pos="709"/>
          <w:tab w:val="left" w:pos="3742"/>
        </w:tabs>
        <w:spacing w:after="120" w:line="360" w:lineRule="auto"/>
        <w:jc w:val="both"/>
        <w:rPr>
          <w:rFonts w:ascii="Arial" w:eastAsia="Arial" w:hAnsi="Arial" w:cs="Arial"/>
          <w:color w:val="010000"/>
          <w:sz w:val="20"/>
          <w:szCs w:val="20"/>
        </w:rPr>
      </w:pPr>
      <w:r>
        <w:rPr>
          <w:rFonts w:ascii="Arial" w:hAnsi="Arial"/>
          <w:color w:val="010000"/>
          <w:sz w:val="20"/>
        </w:rPr>
        <w:t>Mr. Ngo Anh Phuong- Member of the Board of Directors and concurrently Manager, Son of the Chair of the Board of Directors</w:t>
      </w:r>
    </w:p>
    <w:p w14:paraId="00000023" w14:textId="77777777" w:rsidR="00346052" w:rsidRDefault="007D1297" w:rsidP="00C75672">
      <w:pPr>
        <w:numPr>
          <w:ilvl w:val="0"/>
          <w:numId w:val="2"/>
        </w:numPr>
        <w:pBdr>
          <w:top w:val="nil"/>
          <w:left w:val="nil"/>
          <w:bottom w:val="nil"/>
          <w:right w:val="nil"/>
          <w:between w:val="nil"/>
        </w:pBdr>
        <w:tabs>
          <w:tab w:val="left" w:pos="567"/>
          <w:tab w:val="left" w:pos="709"/>
          <w:tab w:val="left" w:pos="3516"/>
        </w:tabs>
        <w:spacing w:after="120" w:line="360" w:lineRule="auto"/>
        <w:jc w:val="both"/>
        <w:rPr>
          <w:rFonts w:ascii="Arial" w:eastAsia="Arial" w:hAnsi="Arial" w:cs="Arial"/>
          <w:color w:val="010000"/>
          <w:sz w:val="20"/>
          <w:szCs w:val="20"/>
        </w:rPr>
      </w:pPr>
      <w:r>
        <w:rPr>
          <w:rFonts w:ascii="Arial" w:hAnsi="Arial"/>
          <w:color w:val="010000"/>
          <w:sz w:val="20"/>
        </w:rPr>
        <w:t>Number of shares held: 0 shares, at the rate of 0%</w:t>
      </w:r>
    </w:p>
    <w:p w14:paraId="00000024" w14:textId="77777777" w:rsidR="00346052" w:rsidRDefault="007D1297" w:rsidP="00C75672">
      <w:pPr>
        <w:numPr>
          <w:ilvl w:val="0"/>
          <w:numId w:val="2"/>
        </w:numPr>
        <w:pBdr>
          <w:top w:val="nil"/>
          <w:left w:val="nil"/>
          <w:bottom w:val="nil"/>
          <w:right w:val="nil"/>
          <w:between w:val="nil"/>
        </w:pBdr>
        <w:tabs>
          <w:tab w:val="left" w:pos="567"/>
          <w:tab w:val="left" w:pos="709"/>
          <w:tab w:val="left" w:pos="3516"/>
        </w:tabs>
        <w:spacing w:after="120" w:line="360" w:lineRule="auto"/>
        <w:jc w:val="both"/>
        <w:rPr>
          <w:rFonts w:ascii="Arial" w:eastAsia="Arial" w:hAnsi="Arial" w:cs="Arial"/>
          <w:color w:val="010000"/>
          <w:sz w:val="20"/>
          <w:szCs w:val="20"/>
        </w:rPr>
      </w:pPr>
      <w:r>
        <w:rPr>
          <w:rFonts w:ascii="Arial" w:hAnsi="Arial"/>
          <w:color w:val="010000"/>
          <w:sz w:val="20"/>
        </w:rPr>
        <w:t>Expected number of shares to purchase: 1,916,420 shares, at the rate of 42.01%</w:t>
      </w:r>
    </w:p>
    <w:p w14:paraId="00000025" w14:textId="77777777" w:rsidR="00346052" w:rsidRDefault="007D1297" w:rsidP="00C75672">
      <w:pPr>
        <w:numPr>
          <w:ilvl w:val="0"/>
          <w:numId w:val="2"/>
        </w:numPr>
        <w:pBdr>
          <w:top w:val="nil"/>
          <w:left w:val="nil"/>
          <w:bottom w:val="nil"/>
          <w:right w:val="nil"/>
          <w:between w:val="nil"/>
        </w:pBdr>
        <w:tabs>
          <w:tab w:val="left" w:pos="567"/>
          <w:tab w:val="left" w:pos="709"/>
          <w:tab w:val="left" w:pos="3516"/>
        </w:tabs>
        <w:spacing w:after="120" w:line="360" w:lineRule="auto"/>
        <w:jc w:val="both"/>
        <w:rPr>
          <w:rFonts w:ascii="Arial" w:eastAsia="Arial" w:hAnsi="Arial" w:cs="Arial"/>
          <w:color w:val="010000"/>
          <w:sz w:val="20"/>
          <w:szCs w:val="20"/>
        </w:rPr>
      </w:pPr>
      <w:r>
        <w:rPr>
          <w:rFonts w:ascii="Arial" w:hAnsi="Arial"/>
          <w:color w:val="010000"/>
          <w:sz w:val="20"/>
        </w:rPr>
        <w:t>Total number of shares expected to be held after purchasing/receiving transfers from shareholders: 1,916,420 shares, at the rate of 42.01%</w:t>
      </w:r>
    </w:p>
    <w:p w14:paraId="00000026" w14:textId="77777777" w:rsidR="00346052" w:rsidRDefault="007D1297" w:rsidP="00C75672">
      <w:pPr>
        <w:pBdr>
          <w:top w:val="nil"/>
          <w:left w:val="nil"/>
          <w:bottom w:val="nil"/>
          <w:right w:val="nil"/>
          <w:between w:val="nil"/>
        </w:pBdr>
        <w:tabs>
          <w:tab w:val="left" w:pos="567"/>
          <w:tab w:val="left" w:pos="709"/>
        </w:tabs>
        <w:spacing w:after="120" w:line="360" w:lineRule="auto"/>
        <w:jc w:val="both"/>
        <w:rPr>
          <w:rFonts w:ascii="Arial" w:eastAsia="Arial" w:hAnsi="Arial" w:cs="Arial"/>
          <w:color w:val="010000"/>
          <w:sz w:val="20"/>
          <w:szCs w:val="20"/>
        </w:rPr>
      </w:pPr>
      <w:r>
        <w:rPr>
          <w:rFonts w:ascii="Arial" w:hAnsi="Arial"/>
          <w:color w:val="010000"/>
          <w:sz w:val="20"/>
        </w:rPr>
        <w:t>(The number of shares listed is according to the record list V344/2024-CMC/VSDC-DK dated March 20, 2023, from the Vietnam Securities Depository and Clearing Corporation).</w:t>
      </w:r>
    </w:p>
    <w:p w14:paraId="00000027" w14:textId="77777777" w:rsidR="00346052" w:rsidRDefault="007D1297" w:rsidP="00C75672">
      <w:pPr>
        <w:numPr>
          <w:ilvl w:val="0"/>
          <w:numId w:val="3"/>
        </w:numPr>
        <w:pBdr>
          <w:top w:val="nil"/>
          <w:left w:val="nil"/>
          <w:bottom w:val="nil"/>
          <w:right w:val="nil"/>
          <w:between w:val="nil"/>
        </w:pBdr>
        <w:tabs>
          <w:tab w:val="left" w:pos="567"/>
          <w:tab w:val="left" w:pos="709"/>
          <w:tab w:val="left" w:pos="3516"/>
        </w:tabs>
        <w:spacing w:after="120" w:line="360" w:lineRule="auto"/>
        <w:jc w:val="both"/>
        <w:rPr>
          <w:rFonts w:ascii="Arial" w:eastAsia="Arial" w:hAnsi="Arial" w:cs="Arial"/>
          <w:color w:val="010000"/>
          <w:sz w:val="20"/>
          <w:szCs w:val="20"/>
        </w:rPr>
      </w:pPr>
      <w:r>
        <w:rPr>
          <w:rFonts w:ascii="Arial" w:hAnsi="Arial"/>
          <w:color w:val="010000"/>
          <w:sz w:val="20"/>
        </w:rPr>
        <w:t>Organizations and individuals specified in Clause 2 above are not required to conduct public offering when purchasing voting shares of the Company, resulting in those organizations and individuals specified in Clause 2 and affiliated persons directly or indirectly owning or exceeding the levels as prescribed in Point a, Point b, Clause 1, Article 35 of the Securities Law, the number of voting shares of CMC Investment JSC</w:t>
      </w:r>
    </w:p>
    <w:p w14:paraId="00000028" w14:textId="77777777" w:rsidR="00346052" w:rsidRDefault="007D1297" w:rsidP="00C75672">
      <w:pPr>
        <w:numPr>
          <w:ilvl w:val="0"/>
          <w:numId w:val="3"/>
        </w:numPr>
        <w:pBdr>
          <w:top w:val="nil"/>
          <w:left w:val="nil"/>
          <w:bottom w:val="nil"/>
          <w:right w:val="nil"/>
          <w:between w:val="nil"/>
        </w:pBdr>
        <w:tabs>
          <w:tab w:val="left" w:pos="567"/>
          <w:tab w:val="left" w:pos="709"/>
          <w:tab w:val="left" w:pos="3516"/>
        </w:tabs>
        <w:spacing w:after="120" w:line="360" w:lineRule="auto"/>
        <w:jc w:val="both"/>
        <w:rPr>
          <w:rFonts w:ascii="Arial" w:eastAsia="Arial" w:hAnsi="Arial" w:cs="Arial"/>
          <w:color w:val="010000"/>
          <w:sz w:val="20"/>
          <w:szCs w:val="20"/>
        </w:rPr>
      </w:pPr>
      <w:r>
        <w:rPr>
          <w:rFonts w:ascii="Arial" w:hAnsi="Arial"/>
          <w:color w:val="010000"/>
          <w:sz w:val="20"/>
        </w:rPr>
        <w:t>Transaction method: Accept transfers through order execution method or agreements on the Hanoi Stock Exchange in accordance with regulations of the Stock Exchange.</w:t>
      </w:r>
    </w:p>
    <w:p w14:paraId="00000029" w14:textId="77777777" w:rsidR="00346052" w:rsidRDefault="007D1297" w:rsidP="00C75672">
      <w:pPr>
        <w:numPr>
          <w:ilvl w:val="0"/>
          <w:numId w:val="3"/>
        </w:numPr>
        <w:pBdr>
          <w:top w:val="nil"/>
          <w:left w:val="nil"/>
          <w:bottom w:val="nil"/>
          <w:right w:val="nil"/>
          <w:between w:val="nil"/>
        </w:pBdr>
        <w:tabs>
          <w:tab w:val="left" w:pos="567"/>
          <w:tab w:val="left" w:pos="709"/>
          <w:tab w:val="left" w:pos="3516"/>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with full authority to decide on all matters related to the acceptance of transfers mentioned above to ensure the implementation of the contents of this Proposal approved at the Annual General Meeting of Shareholders 2024.</w:t>
      </w:r>
    </w:p>
    <w:p w14:paraId="0000002A" w14:textId="3B1749FC" w:rsidR="00346052" w:rsidRDefault="007D1297" w:rsidP="00C75672">
      <w:pPr>
        <w:pBdr>
          <w:top w:val="nil"/>
          <w:left w:val="nil"/>
          <w:bottom w:val="nil"/>
          <w:right w:val="nil"/>
          <w:between w:val="nil"/>
        </w:pBdr>
        <w:tabs>
          <w:tab w:val="left" w:pos="567"/>
          <w:tab w:val="left" w:pos="2756"/>
        </w:tabs>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the cancellation of the implementation of the share issuance plan to increase capital from source of owners' equity as stated in the General Mandate No. 01/NQ-DHDCD of the Annual General Meeting of Shareholders 2023, dated April 28, 2023, of CMC Investment JSC. </w:t>
      </w:r>
    </w:p>
    <w:p w14:paraId="0000002B" w14:textId="77777777" w:rsidR="00346052" w:rsidRDefault="007D1297" w:rsidP="00C75672">
      <w:pPr>
        <w:pBdr>
          <w:top w:val="nil"/>
          <w:left w:val="nil"/>
          <w:bottom w:val="nil"/>
          <w:right w:val="nil"/>
          <w:between w:val="nil"/>
        </w:pBdr>
        <w:tabs>
          <w:tab w:val="left" w:pos="567"/>
          <w:tab w:val="left" w:pos="2756"/>
        </w:tabs>
        <w:spacing w:after="120" w:line="360" w:lineRule="auto"/>
        <w:jc w:val="both"/>
        <w:rPr>
          <w:rFonts w:ascii="Arial" w:eastAsia="Arial" w:hAnsi="Arial" w:cs="Arial"/>
          <w:color w:val="010000"/>
          <w:sz w:val="20"/>
          <w:szCs w:val="20"/>
        </w:rPr>
      </w:pPr>
      <w:r>
        <w:rPr>
          <w:rFonts w:ascii="Arial" w:hAnsi="Arial"/>
          <w:color w:val="010000"/>
          <w:sz w:val="20"/>
        </w:rPr>
        <w:t xml:space="preserve">Article 9: Authorize the Board of Directors to decide on certain matters within the authority of the General </w:t>
      </w:r>
      <w:r>
        <w:rPr>
          <w:rFonts w:ascii="Arial" w:hAnsi="Arial"/>
          <w:color w:val="010000"/>
          <w:sz w:val="20"/>
        </w:rPr>
        <w:lastRenderedPageBreak/>
        <w:t>Meeting of Shareholders.</w:t>
      </w:r>
    </w:p>
    <w:p w14:paraId="0000002C" w14:textId="77777777" w:rsidR="00346052" w:rsidRDefault="007D1297" w:rsidP="00C75672">
      <w:pPr>
        <w:numPr>
          <w:ilvl w:val="0"/>
          <w:numId w:val="2"/>
        </w:numPr>
        <w:pBdr>
          <w:top w:val="nil"/>
          <w:left w:val="nil"/>
          <w:bottom w:val="nil"/>
          <w:right w:val="nil"/>
          <w:between w:val="nil"/>
        </w:pBdr>
        <w:tabs>
          <w:tab w:val="left" w:pos="567"/>
        </w:tabs>
        <w:spacing w:after="120" w:line="360" w:lineRule="auto"/>
        <w:jc w:val="both"/>
        <w:rPr>
          <w:color w:val="010000"/>
        </w:rPr>
      </w:pPr>
      <w:r>
        <w:rPr>
          <w:rFonts w:ascii="Arial" w:hAnsi="Arial"/>
          <w:color w:val="010000"/>
          <w:sz w:val="20"/>
        </w:rPr>
        <w:t>Adjust the business plan for 2024 in consistent with market movements and provisions of law;</w:t>
      </w:r>
    </w:p>
    <w:p w14:paraId="0000002D" w14:textId="77777777" w:rsidR="00346052" w:rsidRDefault="007D1297" w:rsidP="00C75672">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Decide on the structure and organize management and administration apparatus in accordance with the provisions of law and the operational business scale of the Company in each period;</w:t>
      </w:r>
    </w:p>
    <w:p w14:paraId="0000002E" w14:textId="77777777" w:rsidR="00346052" w:rsidRDefault="007D1297" w:rsidP="00C75672">
      <w:pPr>
        <w:numPr>
          <w:ilvl w:val="0"/>
          <w:numId w:val="2"/>
        </w:numPr>
        <w:pBdr>
          <w:top w:val="nil"/>
          <w:left w:val="nil"/>
          <w:bottom w:val="nil"/>
          <w:right w:val="nil"/>
          <w:between w:val="nil"/>
        </w:pBdr>
        <w:tabs>
          <w:tab w:val="left" w:pos="567"/>
          <w:tab w:val="left" w:pos="3490"/>
        </w:tabs>
        <w:spacing w:after="120" w:line="360" w:lineRule="auto"/>
        <w:jc w:val="both"/>
        <w:rPr>
          <w:rFonts w:ascii="Arial" w:eastAsia="Arial" w:hAnsi="Arial" w:cs="Arial"/>
          <w:color w:val="010000"/>
          <w:sz w:val="20"/>
          <w:szCs w:val="20"/>
        </w:rPr>
      </w:pPr>
      <w:r>
        <w:rPr>
          <w:rFonts w:ascii="Arial" w:hAnsi="Arial"/>
          <w:color w:val="010000"/>
          <w:sz w:val="20"/>
        </w:rPr>
        <w:t>Decide on investments, purchases, and sales of company assets valued at 35% or more of the company's charter capital as recorded in the most recent Audited Financial Statements to fulfill business operation requirements;</w:t>
      </w:r>
    </w:p>
    <w:p w14:paraId="0000002F" w14:textId="77777777" w:rsidR="00346052" w:rsidRDefault="007D1297" w:rsidP="00C75672">
      <w:pPr>
        <w:numPr>
          <w:ilvl w:val="0"/>
          <w:numId w:val="2"/>
        </w:numPr>
        <w:pBdr>
          <w:top w:val="nil"/>
          <w:left w:val="nil"/>
          <w:bottom w:val="nil"/>
          <w:right w:val="nil"/>
          <w:between w:val="nil"/>
        </w:pBdr>
        <w:tabs>
          <w:tab w:val="left" w:pos="567"/>
          <w:tab w:val="left" w:pos="3490"/>
        </w:tabs>
        <w:spacing w:after="120" w:line="360" w:lineRule="auto"/>
        <w:jc w:val="both"/>
        <w:rPr>
          <w:rFonts w:ascii="Arial" w:eastAsia="Arial" w:hAnsi="Arial" w:cs="Arial"/>
          <w:color w:val="010000"/>
          <w:sz w:val="20"/>
          <w:szCs w:val="20"/>
        </w:rPr>
      </w:pPr>
      <w:r>
        <w:rPr>
          <w:rFonts w:ascii="Arial" w:hAnsi="Arial"/>
          <w:color w:val="010000"/>
          <w:sz w:val="20"/>
        </w:rPr>
        <w:t>Decide on contracts valued at or above 35% of the company's charter capital as recorded in the most recent Audited Financial Statements between the company and members of the Board of Directors, members of the Supervisory Board, the General Manager, major shareholders, affiliated persons of management personnel, subsidiaries, and affiliated companies of the company;</w:t>
      </w:r>
    </w:p>
    <w:p w14:paraId="00000030" w14:textId="77777777" w:rsidR="00346052" w:rsidRDefault="007D1297" w:rsidP="00C75672">
      <w:pPr>
        <w:numPr>
          <w:ilvl w:val="0"/>
          <w:numId w:val="2"/>
        </w:numPr>
        <w:pBdr>
          <w:top w:val="nil"/>
          <w:left w:val="nil"/>
          <w:bottom w:val="nil"/>
          <w:right w:val="nil"/>
          <w:between w:val="nil"/>
        </w:pBdr>
        <w:tabs>
          <w:tab w:val="left" w:pos="567"/>
          <w:tab w:val="left" w:pos="3490"/>
        </w:tabs>
        <w:spacing w:after="120" w:line="360" w:lineRule="auto"/>
        <w:jc w:val="both"/>
        <w:rPr>
          <w:rFonts w:ascii="Arial" w:eastAsia="Arial" w:hAnsi="Arial" w:cs="Arial"/>
          <w:color w:val="010000"/>
          <w:sz w:val="20"/>
          <w:szCs w:val="20"/>
        </w:rPr>
      </w:pPr>
      <w:r>
        <w:rPr>
          <w:rFonts w:ascii="Arial" w:hAnsi="Arial"/>
          <w:color w:val="010000"/>
          <w:sz w:val="20"/>
        </w:rPr>
        <w:t>Decide on cooperation plans, invest in construction projects, contribute capital to other businesses, buy shares of other businesses</w:t>
      </w:r>
    </w:p>
    <w:p w14:paraId="00000031" w14:textId="77777777" w:rsidR="00346052" w:rsidRDefault="007D1297" w:rsidP="00C75672">
      <w:pPr>
        <w:numPr>
          <w:ilvl w:val="0"/>
          <w:numId w:val="2"/>
        </w:numPr>
        <w:pBdr>
          <w:top w:val="nil"/>
          <w:left w:val="nil"/>
          <w:bottom w:val="nil"/>
          <w:right w:val="nil"/>
          <w:between w:val="nil"/>
        </w:pBdr>
        <w:tabs>
          <w:tab w:val="left" w:pos="567"/>
          <w:tab w:val="left" w:pos="3490"/>
        </w:tabs>
        <w:spacing w:after="120" w:line="360" w:lineRule="auto"/>
        <w:jc w:val="both"/>
        <w:rPr>
          <w:rFonts w:ascii="Arial" w:eastAsia="Arial" w:hAnsi="Arial" w:cs="Arial"/>
          <w:color w:val="010000"/>
          <w:sz w:val="20"/>
          <w:szCs w:val="20"/>
        </w:rPr>
      </w:pPr>
      <w:r>
        <w:rPr>
          <w:rFonts w:ascii="Arial" w:hAnsi="Arial"/>
          <w:color w:val="010000"/>
          <w:sz w:val="20"/>
        </w:rPr>
        <w:t>Implement tasks approved by the General Meeting of Shareholders (including implementing procedures and working with competent state agencies to achieve the goals and plans set out in the 2024 in accordance with the provisions of law). In case of any problems related to the approved General Mandate, including issues under the authority of the General Meeting of Shareholders, the Board of Directors has full authority to make decisions on them without convening the General Meeting of Shareholders.</w:t>
      </w:r>
    </w:p>
    <w:p w14:paraId="00000032" w14:textId="77777777" w:rsidR="00346052" w:rsidRDefault="007D1297" w:rsidP="00C7567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the date of its signing, April 29, 2024. The Board of Directors of CMC Investment JSC is responsible for carrying out the duties authorized by the General Meeting of Shareholders in this General Mandate, ensuring the benefits of shareholders, the company, and compliance with the law.</w:t>
      </w:r>
    </w:p>
    <w:p w14:paraId="00000033" w14:textId="77777777" w:rsidR="00346052" w:rsidRDefault="007D1297" w:rsidP="00C7567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All members of the Board of Directors, the Executive Board, the Supervisory Board, and shareholders of the Company are responsible for implementing this General Mandate. Authorized the Board of Directors, the Board of Managers and the Supervisory Board to implement in accordance with the provisions of the Charter of CMC Investment JSC.</w:t>
      </w:r>
    </w:p>
    <w:p w14:paraId="00000034" w14:textId="77777777" w:rsidR="00346052" w:rsidRDefault="007D1297" w:rsidP="00C75672">
      <w:pPr>
        <w:tabs>
          <w:tab w:val="left" w:pos="567"/>
        </w:tabs>
        <w:jc w:val="both"/>
        <w:rPr>
          <w:rFonts w:ascii="Arial" w:eastAsia="Arial" w:hAnsi="Arial" w:cs="Arial"/>
          <w:color w:val="010000"/>
          <w:sz w:val="20"/>
          <w:szCs w:val="20"/>
        </w:rPr>
      </w:pPr>
      <w:r>
        <w:br w:type="page"/>
      </w:r>
    </w:p>
    <w:p w14:paraId="00000035" w14:textId="77777777" w:rsidR="00346052" w:rsidRDefault="007D1297" w:rsidP="00C7567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 </w:t>
      </w:r>
    </w:p>
    <w:p w14:paraId="00000036" w14:textId="77777777" w:rsidR="00346052" w:rsidRDefault="00346052" w:rsidP="00C7567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p>
    <w:sectPr w:rsidR="0034605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DCB"/>
    <w:multiLevelType w:val="multilevel"/>
    <w:tmpl w:val="66B00C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A910E0"/>
    <w:multiLevelType w:val="multilevel"/>
    <w:tmpl w:val="094273EE"/>
    <w:lvl w:ilvl="0">
      <w:start w:val="2"/>
      <w:numFmt w:val="decimal"/>
      <w:lvlText w:val="7.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5D34741"/>
    <w:multiLevelType w:val="multilevel"/>
    <w:tmpl w:val="ABE61948"/>
    <w:lvl w:ilvl="0">
      <w:start w:val="1"/>
      <w:numFmt w:val="decimal"/>
      <w:lvlText w:val="7.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8747670"/>
    <w:multiLevelType w:val="multilevel"/>
    <w:tmpl w:val="FDFC32F0"/>
    <w:lvl w:ilvl="0">
      <w:start w:val="1"/>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52"/>
    <w:rsid w:val="00346052"/>
    <w:rsid w:val="007D1297"/>
    <w:rsid w:val="00801478"/>
    <w:rsid w:val="00C664FE"/>
    <w:rsid w:val="00C75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DE18"/>
  <w15:docId w15:val="{B68200C0-45E2-4D59-9D0C-1260975D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2"/>
      <w:szCs w:val="3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22"/>
      <w:szCs w:val="22"/>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Tiu10">
    <w:name w:val="Tiêu đề #1"/>
    <w:basedOn w:val="Normal"/>
    <w:link w:val="Tiu1"/>
    <w:pPr>
      <w:ind w:left="2700"/>
      <w:jc w:val="center"/>
      <w:outlineLvl w:val="0"/>
    </w:pPr>
    <w:rPr>
      <w:rFonts w:ascii="Arial" w:eastAsia="Arial" w:hAnsi="Arial" w:cs="Arial"/>
      <w:sz w:val="32"/>
      <w:szCs w:val="32"/>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23" w:lineRule="auto"/>
    </w:pPr>
    <w:rPr>
      <w:rFonts w:ascii="Times New Roman" w:eastAsia="Times New Roman" w:hAnsi="Times New Roman" w:cs="Times New Roman"/>
      <w:color w:val="FF0000"/>
      <w:sz w:val="17"/>
      <w:szCs w:val="17"/>
    </w:rPr>
  </w:style>
  <w:style w:type="paragraph" w:customStyle="1" w:styleId="Vnbnnidung20">
    <w:name w:val="Văn bản nội dung (2)"/>
    <w:basedOn w:val="Normal"/>
    <w:link w:val="Vnbnnidung2"/>
    <w:pPr>
      <w:spacing w:line="223" w:lineRule="auto"/>
      <w:ind w:left="1680"/>
    </w:pPr>
    <w:rPr>
      <w:rFonts w:ascii="Times New Roman" w:eastAsia="Times New Roman" w:hAnsi="Times New Roman" w:cs="Times New Roman"/>
      <w:sz w:val="20"/>
      <w:szCs w:val="20"/>
    </w:rPr>
  </w:style>
  <w:style w:type="paragraph" w:customStyle="1" w:styleId="Tiu20">
    <w:name w:val="Tiêu đề #2"/>
    <w:basedOn w:val="Normal"/>
    <w:link w:val="Tiu2"/>
    <w:pPr>
      <w:ind w:left="2160"/>
      <w:outlineLvl w:val="1"/>
    </w:pPr>
    <w:rPr>
      <w:rFonts w:ascii="Times New Roman" w:eastAsia="Times New Roman" w:hAnsi="Times New Roman" w:cs="Times New Roman"/>
      <w:b/>
      <w:bCs/>
      <w:sz w:val="32"/>
      <w:szCs w:val="32"/>
    </w:rPr>
  </w:style>
  <w:style w:type="paragraph" w:customStyle="1" w:styleId="Vnbnnidung40">
    <w:name w:val="Văn bản nội dung (4)"/>
    <w:basedOn w:val="Normal"/>
    <w:link w:val="Vnbnnidung4"/>
    <w:pPr>
      <w:ind w:left="1260"/>
    </w:pPr>
    <w:rPr>
      <w:rFonts w:ascii="Arial" w:eastAsia="Arial" w:hAnsi="Arial" w:cs="Arial"/>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HNF8I7mvV4ChI7KGXoooZ/n0lw==">CgMxLjAyCGguZ2pkZ3hzOAByITFDZjRtRHplS1gwOFdlTk5TcTNZUmFhSEdNMVRINXhMYw==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2024-05-07T03:48:00Z</dcterms:created>
  <dcterms:modified xsi:type="dcterms:W3CDTF">2024-05-08T04:18:00Z</dcterms:modified>
</cp:coreProperties>
</file>