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C396F"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CMS: Annual General Mandate 2024</w:t>
      </w:r>
    </w:p>
    <w:p w14:paraId="4AC4204E"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April 27, 2024, CMH Vietnam Group JSC announced General Mandate No. 01/2024/NQ-DHDCD-CMH as follows: </w:t>
      </w:r>
    </w:p>
    <w:p w14:paraId="61182707"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the full Report of the Board of Directors in 2023 and plan for 2024 </w:t>
      </w:r>
    </w:p>
    <w:p w14:paraId="769E1773"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2. Approve the full Report of the Board of Management in 2023 and plan for 2024 </w:t>
      </w:r>
    </w:p>
    <w:p w14:paraId="29F683CD"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3. Approve the full Report of the Audit Committee in 2023 and plan for 2024 </w:t>
      </w:r>
      <w:bookmarkStart w:id="0" w:name="_GoBack"/>
      <w:bookmarkEnd w:id="0"/>
    </w:p>
    <w:p w14:paraId="712B0E09"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4. Approve the production and business results, dividend in 2023 and the Plan on production and business, expected dividend for 2024 with the following main targets:</w:t>
      </w:r>
    </w:p>
    <w:p w14:paraId="1BC662D0"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4.1. Approve the production and business results and dividend in 2023 with some main targets as follows: </w:t>
      </w:r>
    </w:p>
    <w:p w14:paraId="24C97CA3"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Million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
        <w:gridCol w:w="3042"/>
        <w:gridCol w:w="1825"/>
        <w:gridCol w:w="1984"/>
        <w:gridCol w:w="1401"/>
      </w:tblGrid>
      <w:tr w:rsidR="00C472E6" w14:paraId="63EE01A2" w14:textId="77777777">
        <w:tc>
          <w:tcPr>
            <w:tcW w:w="765" w:type="dxa"/>
            <w:shd w:val="clear" w:color="auto" w:fill="auto"/>
            <w:tcMar>
              <w:top w:w="0" w:type="dxa"/>
              <w:bottom w:w="0" w:type="dxa"/>
            </w:tcMar>
            <w:vAlign w:val="center"/>
          </w:tcPr>
          <w:p w14:paraId="60BF4018"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3042" w:type="dxa"/>
            <w:shd w:val="clear" w:color="auto" w:fill="auto"/>
            <w:tcMar>
              <w:top w:w="0" w:type="dxa"/>
              <w:bottom w:w="0" w:type="dxa"/>
            </w:tcMar>
            <w:vAlign w:val="center"/>
          </w:tcPr>
          <w:p w14:paraId="240AD27B"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1825" w:type="dxa"/>
            <w:shd w:val="clear" w:color="auto" w:fill="auto"/>
            <w:tcMar>
              <w:top w:w="0" w:type="dxa"/>
              <w:bottom w:w="0" w:type="dxa"/>
            </w:tcMar>
            <w:vAlign w:val="center"/>
          </w:tcPr>
          <w:p w14:paraId="4E397287"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Plan</w:t>
            </w:r>
          </w:p>
        </w:tc>
        <w:tc>
          <w:tcPr>
            <w:tcW w:w="1984" w:type="dxa"/>
            <w:shd w:val="clear" w:color="auto" w:fill="auto"/>
            <w:tcMar>
              <w:top w:w="0" w:type="dxa"/>
              <w:bottom w:w="0" w:type="dxa"/>
            </w:tcMar>
            <w:vAlign w:val="center"/>
          </w:tcPr>
          <w:p w14:paraId="0CEB8794"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Results </w:t>
            </w:r>
          </w:p>
        </w:tc>
        <w:tc>
          <w:tcPr>
            <w:tcW w:w="1401" w:type="dxa"/>
            <w:shd w:val="clear" w:color="auto" w:fill="auto"/>
            <w:tcMar>
              <w:top w:w="0" w:type="dxa"/>
              <w:bottom w:w="0" w:type="dxa"/>
            </w:tcMar>
            <w:vAlign w:val="center"/>
          </w:tcPr>
          <w:p w14:paraId="42BCE6C6"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Results/Plan (%)</w:t>
            </w:r>
          </w:p>
        </w:tc>
      </w:tr>
      <w:tr w:rsidR="00C472E6" w14:paraId="226B34E4" w14:textId="77777777">
        <w:tc>
          <w:tcPr>
            <w:tcW w:w="765" w:type="dxa"/>
            <w:shd w:val="clear" w:color="auto" w:fill="auto"/>
            <w:tcMar>
              <w:top w:w="0" w:type="dxa"/>
              <w:bottom w:w="0" w:type="dxa"/>
            </w:tcMar>
            <w:vAlign w:val="center"/>
          </w:tcPr>
          <w:p w14:paraId="3CC19D89"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3042" w:type="dxa"/>
            <w:shd w:val="clear" w:color="auto" w:fill="auto"/>
            <w:tcMar>
              <w:top w:w="0" w:type="dxa"/>
              <w:bottom w:w="0" w:type="dxa"/>
            </w:tcMar>
            <w:vAlign w:val="center"/>
          </w:tcPr>
          <w:p w14:paraId="6AC56A02"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Revenue from goods sale</w:t>
            </w:r>
          </w:p>
        </w:tc>
        <w:tc>
          <w:tcPr>
            <w:tcW w:w="1825" w:type="dxa"/>
            <w:shd w:val="clear" w:color="auto" w:fill="auto"/>
            <w:tcMar>
              <w:top w:w="0" w:type="dxa"/>
              <w:bottom w:w="0" w:type="dxa"/>
            </w:tcMar>
            <w:vAlign w:val="center"/>
          </w:tcPr>
          <w:p w14:paraId="3280B561"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79,423</w:t>
            </w:r>
          </w:p>
        </w:tc>
        <w:tc>
          <w:tcPr>
            <w:tcW w:w="1984" w:type="dxa"/>
            <w:shd w:val="clear" w:color="auto" w:fill="auto"/>
            <w:tcMar>
              <w:top w:w="0" w:type="dxa"/>
              <w:bottom w:w="0" w:type="dxa"/>
            </w:tcMar>
            <w:vAlign w:val="center"/>
          </w:tcPr>
          <w:p w14:paraId="0EBB1E63"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98,102</w:t>
            </w:r>
          </w:p>
        </w:tc>
        <w:tc>
          <w:tcPr>
            <w:tcW w:w="1401" w:type="dxa"/>
            <w:shd w:val="clear" w:color="auto" w:fill="auto"/>
            <w:tcMar>
              <w:top w:w="0" w:type="dxa"/>
              <w:bottom w:w="0" w:type="dxa"/>
            </w:tcMar>
            <w:vAlign w:val="center"/>
          </w:tcPr>
          <w:p w14:paraId="3B896EC4"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124%</w:t>
            </w:r>
          </w:p>
        </w:tc>
      </w:tr>
      <w:tr w:rsidR="00C472E6" w14:paraId="538D1C5E" w14:textId="77777777">
        <w:tc>
          <w:tcPr>
            <w:tcW w:w="765" w:type="dxa"/>
            <w:shd w:val="clear" w:color="auto" w:fill="auto"/>
            <w:tcMar>
              <w:top w:w="0" w:type="dxa"/>
              <w:bottom w:w="0" w:type="dxa"/>
            </w:tcMar>
            <w:vAlign w:val="center"/>
          </w:tcPr>
          <w:p w14:paraId="05D8C096"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3042" w:type="dxa"/>
            <w:shd w:val="clear" w:color="auto" w:fill="auto"/>
            <w:tcMar>
              <w:top w:w="0" w:type="dxa"/>
              <w:bottom w:w="0" w:type="dxa"/>
            </w:tcMar>
            <w:vAlign w:val="center"/>
          </w:tcPr>
          <w:p w14:paraId="6760DEFB"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Profit before tax </w:t>
            </w:r>
          </w:p>
        </w:tc>
        <w:tc>
          <w:tcPr>
            <w:tcW w:w="1825" w:type="dxa"/>
            <w:shd w:val="clear" w:color="auto" w:fill="auto"/>
            <w:tcMar>
              <w:top w:w="0" w:type="dxa"/>
              <w:bottom w:w="0" w:type="dxa"/>
            </w:tcMar>
            <w:vAlign w:val="center"/>
          </w:tcPr>
          <w:p w14:paraId="0A572EA2"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2,345</w:t>
            </w:r>
          </w:p>
        </w:tc>
        <w:tc>
          <w:tcPr>
            <w:tcW w:w="1984" w:type="dxa"/>
            <w:shd w:val="clear" w:color="auto" w:fill="auto"/>
            <w:tcMar>
              <w:top w:w="0" w:type="dxa"/>
              <w:bottom w:w="0" w:type="dxa"/>
            </w:tcMar>
            <w:vAlign w:val="center"/>
          </w:tcPr>
          <w:p w14:paraId="4DA4C276"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3,028</w:t>
            </w:r>
          </w:p>
        </w:tc>
        <w:tc>
          <w:tcPr>
            <w:tcW w:w="1401" w:type="dxa"/>
            <w:shd w:val="clear" w:color="auto" w:fill="auto"/>
            <w:tcMar>
              <w:top w:w="0" w:type="dxa"/>
              <w:bottom w:w="0" w:type="dxa"/>
            </w:tcMar>
            <w:vAlign w:val="center"/>
          </w:tcPr>
          <w:p w14:paraId="44C4F8E4"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129%</w:t>
            </w:r>
          </w:p>
        </w:tc>
      </w:tr>
      <w:tr w:rsidR="00C472E6" w14:paraId="3869C47A" w14:textId="77777777">
        <w:tc>
          <w:tcPr>
            <w:tcW w:w="765" w:type="dxa"/>
            <w:shd w:val="clear" w:color="auto" w:fill="auto"/>
            <w:tcMar>
              <w:top w:w="0" w:type="dxa"/>
              <w:bottom w:w="0" w:type="dxa"/>
            </w:tcMar>
            <w:vAlign w:val="center"/>
          </w:tcPr>
          <w:p w14:paraId="67861E4F"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3042" w:type="dxa"/>
            <w:shd w:val="clear" w:color="auto" w:fill="auto"/>
            <w:tcMar>
              <w:top w:w="0" w:type="dxa"/>
              <w:bottom w:w="0" w:type="dxa"/>
            </w:tcMar>
            <w:vAlign w:val="center"/>
          </w:tcPr>
          <w:p w14:paraId="1F45A693"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Dividend</w:t>
            </w:r>
          </w:p>
        </w:tc>
        <w:tc>
          <w:tcPr>
            <w:tcW w:w="1825" w:type="dxa"/>
            <w:shd w:val="clear" w:color="auto" w:fill="auto"/>
            <w:tcMar>
              <w:top w:w="0" w:type="dxa"/>
              <w:bottom w:w="0" w:type="dxa"/>
            </w:tcMar>
            <w:vAlign w:val="center"/>
          </w:tcPr>
          <w:p w14:paraId="4E142221"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c>
          <w:tcPr>
            <w:tcW w:w="1984" w:type="dxa"/>
            <w:shd w:val="clear" w:color="auto" w:fill="auto"/>
            <w:tcMar>
              <w:top w:w="0" w:type="dxa"/>
              <w:bottom w:w="0" w:type="dxa"/>
            </w:tcMar>
            <w:vAlign w:val="center"/>
          </w:tcPr>
          <w:p w14:paraId="756E25D3"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c>
          <w:tcPr>
            <w:tcW w:w="1401" w:type="dxa"/>
            <w:shd w:val="clear" w:color="auto" w:fill="auto"/>
            <w:tcMar>
              <w:top w:w="0" w:type="dxa"/>
              <w:bottom w:w="0" w:type="dxa"/>
            </w:tcMar>
            <w:vAlign w:val="center"/>
          </w:tcPr>
          <w:p w14:paraId="1DAE07B1" w14:textId="77777777" w:rsidR="00C472E6" w:rsidRDefault="00C472E6" w:rsidP="0045108F">
            <w:pPr>
              <w:spacing w:after="120" w:line="360" w:lineRule="auto"/>
              <w:jc w:val="both"/>
              <w:rPr>
                <w:rFonts w:ascii="Arial" w:eastAsia="Arial" w:hAnsi="Arial" w:cs="Arial"/>
                <w:color w:val="010000"/>
                <w:sz w:val="20"/>
                <w:szCs w:val="20"/>
              </w:rPr>
            </w:pPr>
          </w:p>
        </w:tc>
      </w:tr>
    </w:tbl>
    <w:p w14:paraId="4CA3587B"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4.2. Approve the production and business and expected dividend in 2024 with some main targets as follows: </w:t>
      </w:r>
    </w:p>
    <w:p w14:paraId="3186508F"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Million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
        <w:gridCol w:w="5136"/>
        <w:gridCol w:w="3154"/>
      </w:tblGrid>
      <w:tr w:rsidR="00C472E6" w14:paraId="0118EF11" w14:textId="77777777">
        <w:tc>
          <w:tcPr>
            <w:tcW w:w="727" w:type="dxa"/>
            <w:shd w:val="clear" w:color="auto" w:fill="auto"/>
            <w:tcMar>
              <w:top w:w="0" w:type="dxa"/>
              <w:bottom w:w="0" w:type="dxa"/>
            </w:tcMar>
            <w:vAlign w:val="center"/>
          </w:tcPr>
          <w:p w14:paraId="08CD4AAE"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5136" w:type="dxa"/>
            <w:shd w:val="clear" w:color="auto" w:fill="auto"/>
            <w:tcMar>
              <w:top w:w="0" w:type="dxa"/>
              <w:bottom w:w="0" w:type="dxa"/>
            </w:tcMar>
            <w:vAlign w:val="center"/>
          </w:tcPr>
          <w:p w14:paraId="46B6A8B0"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3154" w:type="dxa"/>
            <w:shd w:val="clear" w:color="auto" w:fill="auto"/>
            <w:tcMar>
              <w:top w:w="0" w:type="dxa"/>
              <w:bottom w:w="0" w:type="dxa"/>
            </w:tcMar>
            <w:vAlign w:val="center"/>
          </w:tcPr>
          <w:p w14:paraId="6872399B"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Value (Million VND)</w:t>
            </w:r>
          </w:p>
        </w:tc>
      </w:tr>
      <w:tr w:rsidR="00C472E6" w14:paraId="61E1BD8B" w14:textId="77777777">
        <w:tc>
          <w:tcPr>
            <w:tcW w:w="727" w:type="dxa"/>
            <w:shd w:val="clear" w:color="auto" w:fill="auto"/>
            <w:tcMar>
              <w:top w:w="0" w:type="dxa"/>
              <w:bottom w:w="0" w:type="dxa"/>
            </w:tcMar>
            <w:vAlign w:val="center"/>
          </w:tcPr>
          <w:p w14:paraId="3498070A"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5136" w:type="dxa"/>
            <w:shd w:val="clear" w:color="auto" w:fill="auto"/>
            <w:tcMar>
              <w:top w:w="0" w:type="dxa"/>
              <w:bottom w:w="0" w:type="dxa"/>
            </w:tcMar>
            <w:vAlign w:val="center"/>
          </w:tcPr>
          <w:p w14:paraId="4752D663"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Revenue from goods sale</w:t>
            </w:r>
          </w:p>
        </w:tc>
        <w:tc>
          <w:tcPr>
            <w:tcW w:w="3154" w:type="dxa"/>
            <w:shd w:val="clear" w:color="auto" w:fill="auto"/>
            <w:tcMar>
              <w:top w:w="0" w:type="dxa"/>
              <w:bottom w:w="0" w:type="dxa"/>
            </w:tcMar>
            <w:vAlign w:val="center"/>
          </w:tcPr>
          <w:p w14:paraId="4FF76B71" w14:textId="77777777" w:rsidR="00C472E6" w:rsidRDefault="00840707" w:rsidP="0045108F">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204,333</w:t>
            </w:r>
          </w:p>
        </w:tc>
      </w:tr>
      <w:tr w:rsidR="00C472E6" w14:paraId="1E2E3D8E" w14:textId="77777777">
        <w:tc>
          <w:tcPr>
            <w:tcW w:w="727" w:type="dxa"/>
            <w:shd w:val="clear" w:color="auto" w:fill="auto"/>
            <w:tcMar>
              <w:top w:w="0" w:type="dxa"/>
              <w:bottom w:w="0" w:type="dxa"/>
            </w:tcMar>
            <w:vAlign w:val="center"/>
          </w:tcPr>
          <w:p w14:paraId="2C316220"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5136" w:type="dxa"/>
            <w:shd w:val="clear" w:color="auto" w:fill="auto"/>
            <w:tcMar>
              <w:top w:w="0" w:type="dxa"/>
              <w:bottom w:w="0" w:type="dxa"/>
            </w:tcMar>
            <w:vAlign w:val="center"/>
          </w:tcPr>
          <w:p w14:paraId="7D8E3D4A"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3154" w:type="dxa"/>
            <w:shd w:val="clear" w:color="auto" w:fill="auto"/>
            <w:tcMar>
              <w:top w:w="0" w:type="dxa"/>
              <w:bottom w:w="0" w:type="dxa"/>
            </w:tcMar>
            <w:vAlign w:val="center"/>
          </w:tcPr>
          <w:p w14:paraId="54D22DA7" w14:textId="77777777" w:rsidR="00C472E6" w:rsidRDefault="00840707" w:rsidP="0045108F">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6,130</w:t>
            </w:r>
          </w:p>
        </w:tc>
      </w:tr>
      <w:tr w:rsidR="00C472E6" w14:paraId="6464DDA0" w14:textId="77777777">
        <w:tc>
          <w:tcPr>
            <w:tcW w:w="727" w:type="dxa"/>
            <w:shd w:val="clear" w:color="auto" w:fill="auto"/>
            <w:tcMar>
              <w:top w:w="0" w:type="dxa"/>
              <w:bottom w:w="0" w:type="dxa"/>
            </w:tcMar>
            <w:vAlign w:val="center"/>
          </w:tcPr>
          <w:p w14:paraId="6EFC3AEA"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5136" w:type="dxa"/>
            <w:shd w:val="clear" w:color="auto" w:fill="auto"/>
            <w:tcMar>
              <w:top w:w="0" w:type="dxa"/>
              <w:bottom w:w="0" w:type="dxa"/>
            </w:tcMar>
            <w:vAlign w:val="center"/>
          </w:tcPr>
          <w:p w14:paraId="5D6D040A"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Dividend</w:t>
            </w:r>
          </w:p>
        </w:tc>
        <w:tc>
          <w:tcPr>
            <w:tcW w:w="3154" w:type="dxa"/>
            <w:shd w:val="clear" w:color="auto" w:fill="auto"/>
            <w:tcMar>
              <w:top w:w="0" w:type="dxa"/>
              <w:bottom w:w="0" w:type="dxa"/>
            </w:tcMar>
            <w:vAlign w:val="center"/>
          </w:tcPr>
          <w:p w14:paraId="3A40D62A" w14:textId="77777777" w:rsidR="00C472E6" w:rsidRDefault="00840707" w:rsidP="0045108F">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0%</w:t>
            </w:r>
          </w:p>
        </w:tc>
      </w:tr>
    </w:tbl>
    <w:p w14:paraId="1F471E7D"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the Audited Financial Statements 2023 of the Company and the plan on profit distribution for 2023.</w:t>
      </w:r>
    </w:p>
    <w:p w14:paraId="0669544A"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the plan on profit distribution, appropriation for funds, and dividend in 2023 as follows: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6"/>
        <w:gridCol w:w="1991"/>
      </w:tblGrid>
      <w:tr w:rsidR="00C472E6" w14:paraId="4143BA69" w14:textId="77777777">
        <w:tc>
          <w:tcPr>
            <w:tcW w:w="7026" w:type="dxa"/>
            <w:shd w:val="clear" w:color="auto" w:fill="auto"/>
            <w:tcMar>
              <w:top w:w="0" w:type="dxa"/>
              <w:bottom w:w="0" w:type="dxa"/>
            </w:tcMar>
            <w:vAlign w:val="center"/>
          </w:tcPr>
          <w:p w14:paraId="11D35B2D"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1991" w:type="dxa"/>
            <w:shd w:val="clear" w:color="auto" w:fill="auto"/>
            <w:tcMar>
              <w:top w:w="0" w:type="dxa"/>
              <w:bottom w:w="0" w:type="dxa"/>
            </w:tcMar>
            <w:vAlign w:val="center"/>
          </w:tcPr>
          <w:p w14:paraId="745D7AFA"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Value (VND)</w:t>
            </w:r>
          </w:p>
        </w:tc>
      </w:tr>
      <w:tr w:rsidR="00C472E6" w14:paraId="065DC12F" w14:textId="77777777">
        <w:trPr>
          <w:trHeight w:val="457"/>
        </w:trPr>
        <w:tc>
          <w:tcPr>
            <w:tcW w:w="7026" w:type="dxa"/>
            <w:shd w:val="clear" w:color="auto" w:fill="auto"/>
            <w:tcMar>
              <w:top w:w="0" w:type="dxa"/>
              <w:bottom w:w="0" w:type="dxa"/>
            </w:tcMar>
            <w:vAlign w:val="center"/>
          </w:tcPr>
          <w:p w14:paraId="5E533612"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Undistributed profit transferred to 2023</w:t>
            </w:r>
          </w:p>
        </w:tc>
        <w:tc>
          <w:tcPr>
            <w:tcW w:w="1991" w:type="dxa"/>
            <w:shd w:val="clear" w:color="auto" w:fill="auto"/>
            <w:tcMar>
              <w:top w:w="0" w:type="dxa"/>
              <w:bottom w:w="0" w:type="dxa"/>
            </w:tcMar>
            <w:vAlign w:val="center"/>
          </w:tcPr>
          <w:p w14:paraId="394E27E8" w14:textId="77777777" w:rsidR="00C472E6" w:rsidRDefault="00840707" w:rsidP="0045108F">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1,181,735,447</w:t>
            </w:r>
          </w:p>
        </w:tc>
      </w:tr>
      <w:tr w:rsidR="00C472E6" w14:paraId="16162BB7" w14:textId="77777777">
        <w:trPr>
          <w:trHeight w:val="457"/>
        </w:trPr>
        <w:tc>
          <w:tcPr>
            <w:tcW w:w="7026" w:type="dxa"/>
            <w:shd w:val="clear" w:color="auto" w:fill="auto"/>
            <w:tcMar>
              <w:top w:w="0" w:type="dxa"/>
              <w:bottom w:w="0" w:type="dxa"/>
            </w:tcMar>
            <w:vAlign w:val="center"/>
          </w:tcPr>
          <w:p w14:paraId="55C8C9A4"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Retroactive adjustment on business results in 2022</w:t>
            </w:r>
          </w:p>
        </w:tc>
        <w:tc>
          <w:tcPr>
            <w:tcW w:w="1991" w:type="dxa"/>
            <w:shd w:val="clear" w:color="auto" w:fill="auto"/>
            <w:tcMar>
              <w:top w:w="0" w:type="dxa"/>
              <w:bottom w:w="0" w:type="dxa"/>
            </w:tcMar>
            <w:vAlign w:val="center"/>
          </w:tcPr>
          <w:p w14:paraId="12EC80CE" w14:textId="77777777" w:rsidR="00C472E6" w:rsidRDefault="00840707" w:rsidP="0045108F">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-540,769,018</w:t>
            </w:r>
          </w:p>
        </w:tc>
      </w:tr>
      <w:tr w:rsidR="00C472E6" w14:paraId="38E84BE7" w14:textId="77777777">
        <w:trPr>
          <w:trHeight w:val="457"/>
        </w:trPr>
        <w:tc>
          <w:tcPr>
            <w:tcW w:w="7026" w:type="dxa"/>
            <w:shd w:val="clear" w:color="auto" w:fill="auto"/>
            <w:tcMar>
              <w:top w:w="0" w:type="dxa"/>
              <w:bottom w:w="0" w:type="dxa"/>
            </w:tcMar>
            <w:vAlign w:val="center"/>
          </w:tcPr>
          <w:p w14:paraId="6B97CCE4"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 in 2023</w:t>
            </w:r>
          </w:p>
        </w:tc>
        <w:tc>
          <w:tcPr>
            <w:tcW w:w="1991" w:type="dxa"/>
            <w:shd w:val="clear" w:color="auto" w:fill="auto"/>
            <w:tcMar>
              <w:top w:w="0" w:type="dxa"/>
              <w:bottom w:w="0" w:type="dxa"/>
            </w:tcMar>
            <w:vAlign w:val="center"/>
          </w:tcPr>
          <w:p w14:paraId="399C369F" w14:textId="77777777" w:rsidR="00C472E6" w:rsidRDefault="00840707" w:rsidP="0045108F">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2,015,920,395.</w:t>
            </w:r>
          </w:p>
        </w:tc>
      </w:tr>
      <w:tr w:rsidR="00C472E6" w14:paraId="02E6466C" w14:textId="77777777">
        <w:trPr>
          <w:trHeight w:val="457"/>
        </w:trPr>
        <w:tc>
          <w:tcPr>
            <w:tcW w:w="7026" w:type="dxa"/>
            <w:shd w:val="clear" w:color="auto" w:fill="auto"/>
            <w:tcMar>
              <w:top w:w="0" w:type="dxa"/>
              <w:bottom w:w="0" w:type="dxa"/>
            </w:tcMar>
            <w:vAlign w:val="center"/>
          </w:tcPr>
          <w:p w14:paraId="42B4A41A"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undistributed profit:</w:t>
            </w:r>
          </w:p>
        </w:tc>
        <w:tc>
          <w:tcPr>
            <w:tcW w:w="1991" w:type="dxa"/>
            <w:shd w:val="clear" w:color="auto" w:fill="auto"/>
            <w:tcMar>
              <w:top w:w="0" w:type="dxa"/>
              <w:bottom w:w="0" w:type="dxa"/>
            </w:tcMar>
            <w:vAlign w:val="center"/>
          </w:tcPr>
          <w:p w14:paraId="2708425A" w14:textId="77777777" w:rsidR="00C472E6" w:rsidRDefault="00840707" w:rsidP="0045108F">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2,656,886,824</w:t>
            </w:r>
          </w:p>
        </w:tc>
      </w:tr>
      <w:tr w:rsidR="00C472E6" w14:paraId="6344A1E7" w14:textId="77777777">
        <w:tc>
          <w:tcPr>
            <w:tcW w:w="7026" w:type="dxa"/>
            <w:shd w:val="clear" w:color="auto" w:fill="auto"/>
            <w:tcMar>
              <w:top w:w="0" w:type="dxa"/>
              <w:bottom w:w="0" w:type="dxa"/>
            </w:tcMar>
            <w:vAlign w:val="center"/>
          </w:tcPr>
          <w:p w14:paraId="57285AE6" w14:textId="77777777" w:rsidR="00C472E6" w:rsidRDefault="00840707" w:rsidP="0045108F">
            <w:pPr>
              <w:pBdr>
                <w:top w:val="nil"/>
                <w:left w:val="nil"/>
                <w:bottom w:val="nil"/>
                <w:right w:val="nil"/>
                <w:between w:val="nil"/>
              </w:pBdr>
              <w:tabs>
                <w:tab w:val="left" w:pos="4018"/>
              </w:tabs>
              <w:spacing w:after="120" w:line="360" w:lineRule="auto"/>
              <w:jc w:val="both"/>
              <w:rPr>
                <w:rFonts w:ascii="Arial" w:eastAsia="Arial" w:hAnsi="Arial" w:cs="Arial"/>
                <w:color w:val="010000"/>
                <w:sz w:val="20"/>
                <w:szCs w:val="20"/>
              </w:rPr>
            </w:pPr>
            <w:r>
              <w:rPr>
                <w:rFonts w:ascii="Arial" w:hAnsi="Arial"/>
                <w:color w:val="010000"/>
                <w:sz w:val="20"/>
              </w:rPr>
              <w:lastRenderedPageBreak/>
              <w:t>Remaining undistributed profit</w:t>
            </w:r>
          </w:p>
        </w:tc>
        <w:tc>
          <w:tcPr>
            <w:tcW w:w="1991" w:type="dxa"/>
            <w:shd w:val="clear" w:color="auto" w:fill="auto"/>
            <w:tcMar>
              <w:top w:w="0" w:type="dxa"/>
              <w:bottom w:w="0" w:type="dxa"/>
            </w:tcMar>
            <w:vAlign w:val="center"/>
          </w:tcPr>
          <w:p w14:paraId="42341634" w14:textId="77777777" w:rsidR="00C472E6" w:rsidRDefault="00840707" w:rsidP="0045108F">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2,656,886,824</w:t>
            </w:r>
          </w:p>
        </w:tc>
      </w:tr>
      <w:tr w:rsidR="00C472E6" w14:paraId="25800F06" w14:textId="77777777">
        <w:tc>
          <w:tcPr>
            <w:tcW w:w="7026" w:type="dxa"/>
            <w:shd w:val="clear" w:color="auto" w:fill="auto"/>
            <w:tcMar>
              <w:top w:w="0" w:type="dxa"/>
              <w:bottom w:w="0" w:type="dxa"/>
            </w:tcMar>
            <w:vAlign w:val="center"/>
          </w:tcPr>
          <w:p w14:paraId="5B041307"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Dividend in 2023</w:t>
            </w:r>
          </w:p>
        </w:tc>
        <w:tc>
          <w:tcPr>
            <w:tcW w:w="1991" w:type="dxa"/>
            <w:shd w:val="clear" w:color="auto" w:fill="auto"/>
            <w:tcMar>
              <w:top w:w="0" w:type="dxa"/>
              <w:bottom w:w="0" w:type="dxa"/>
            </w:tcMar>
            <w:vAlign w:val="center"/>
          </w:tcPr>
          <w:p w14:paraId="465AD3E7" w14:textId="77777777" w:rsidR="00C472E6" w:rsidRDefault="00840707" w:rsidP="0045108F">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0</w:t>
            </w:r>
          </w:p>
        </w:tc>
      </w:tr>
      <w:tr w:rsidR="00C472E6" w14:paraId="67019ACE" w14:textId="77777777">
        <w:tc>
          <w:tcPr>
            <w:tcW w:w="7026" w:type="dxa"/>
            <w:shd w:val="clear" w:color="auto" w:fill="auto"/>
            <w:tcMar>
              <w:top w:w="0" w:type="dxa"/>
              <w:bottom w:w="0" w:type="dxa"/>
            </w:tcMar>
            <w:vAlign w:val="center"/>
          </w:tcPr>
          <w:p w14:paraId="3CCD254F" w14:textId="77777777" w:rsidR="00C472E6" w:rsidRDefault="00840707" w:rsidP="0045108F">
            <w:pPr>
              <w:numPr>
                <w:ilvl w:val="0"/>
                <w:numId w:val="3"/>
              </w:numPr>
              <w:pBdr>
                <w:top w:val="nil"/>
                <w:left w:val="nil"/>
                <w:bottom w:val="nil"/>
                <w:right w:val="nil"/>
                <w:between w:val="nil"/>
              </w:pBdr>
              <w:spacing w:after="120" w:line="360" w:lineRule="auto"/>
              <w:ind w:firstLine="360"/>
              <w:jc w:val="both"/>
              <w:rPr>
                <w:rFonts w:ascii="Arial" w:eastAsia="Arial" w:hAnsi="Arial" w:cs="Arial"/>
                <w:color w:val="010000"/>
                <w:sz w:val="20"/>
                <w:szCs w:val="20"/>
              </w:rPr>
            </w:pPr>
            <w:r>
              <w:rPr>
                <w:rFonts w:ascii="Arial" w:hAnsi="Arial"/>
                <w:color w:val="010000"/>
                <w:sz w:val="20"/>
              </w:rPr>
              <w:t>Prepayment of dividend in 2023</w:t>
            </w:r>
          </w:p>
        </w:tc>
        <w:tc>
          <w:tcPr>
            <w:tcW w:w="1991" w:type="dxa"/>
            <w:shd w:val="clear" w:color="auto" w:fill="auto"/>
            <w:tcMar>
              <w:top w:w="0" w:type="dxa"/>
              <w:bottom w:w="0" w:type="dxa"/>
            </w:tcMar>
            <w:vAlign w:val="center"/>
          </w:tcPr>
          <w:p w14:paraId="251D1028" w14:textId="77777777" w:rsidR="00C472E6" w:rsidRDefault="00840707" w:rsidP="0045108F">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0</w:t>
            </w:r>
          </w:p>
        </w:tc>
      </w:tr>
      <w:tr w:rsidR="00C472E6" w14:paraId="0A1808C2" w14:textId="77777777">
        <w:tc>
          <w:tcPr>
            <w:tcW w:w="7026" w:type="dxa"/>
            <w:shd w:val="clear" w:color="auto" w:fill="auto"/>
            <w:tcMar>
              <w:top w:w="0" w:type="dxa"/>
              <w:bottom w:w="0" w:type="dxa"/>
            </w:tcMar>
            <w:vAlign w:val="center"/>
          </w:tcPr>
          <w:p w14:paraId="439CCD97" w14:textId="77777777" w:rsidR="00C472E6" w:rsidRDefault="00840707" w:rsidP="0045108F">
            <w:pPr>
              <w:numPr>
                <w:ilvl w:val="0"/>
                <w:numId w:val="3"/>
              </w:numPr>
              <w:pBdr>
                <w:top w:val="nil"/>
                <w:left w:val="nil"/>
                <w:bottom w:val="nil"/>
                <w:right w:val="nil"/>
                <w:between w:val="nil"/>
              </w:pBdr>
              <w:spacing w:after="120" w:line="360" w:lineRule="auto"/>
              <w:ind w:firstLine="360"/>
              <w:jc w:val="both"/>
              <w:rPr>
                <w:rFonts w:ascii="Arial" w:eastAsia="Arial" w:hAnsi="Arial" w:cs="Arial"/>
                <w:color w:val="010000"/>
                <w:sz w:val="20"/>
                <w:szCs w:val="20"/>
              </w:rPr>
            </w:pPr>
            <w:r>
              <w:rPr>
                <w:rFonts w:ascii="Arial" w:hAnsi="Arial"/>
                <w:color w:val="010000"/>
                <w:sz w:val="20"/>
              </w:rPr>
              <w:t>Remaining dividend in 2023</w:t>
            </w:r>
          </w:p>
        </w:tc>
        <w:tc>
          <w:tcPr>
            <w:tcW w:w="1991" w:type="dxa"/>
            <w:shd w:val="clear" w:color="auto" w:fill="auto"/>
            <w:tcMar>
              <w:top w:w="0" w:type="dxa"/>
              <w:bottom w:w="0" w:type="dxa"/>
            </w:tcMar>
            <w:vAlign w:val="center"/>
          </w:tcPr>
          <w:p w14:paraId="71880440" w14:textId="77777777" w:rsidR="00C472E6" w:rsidRDefault="00840707" w:rsidP="0045108F">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0</w:t>
            </w:r>
          </w:p>
        </w:tc>
      </w:tr>
      <w:tr w:rsidR="00C472E6" w14:paraId="29BF3775" w14:textId="77777777">
        <w:tc>
          <w:tcPr>
            <w:tcW w:w="7026" w:type="dxa"/>
            <w:shd w:val="clear" w:color="auto" w:fill="auto"/>
            <w:tcMar>
              <w:top w:w="0" w:type="dxa"/>
              <w:bottom w:w="0" w:type="dxa"/>
            </w:tcMar>
            <w:vAlign w:val="center"/>
          </w:tcPr>
          <w:p w14:paraId="5714B78B"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Appropriation for Financial Reverse Fund</w:t>
            </w:r>
          </w:p>
        </w:tc>
        <w:tc>
          <w:tcPr>
            <w:tcW w:w="1991" w:type="dxa"/>
            <w:shd w:val="clear" w:color="auto" w:fill="auto"/>
            <w:tcMar>
              <w:top w:w="0" w:type="dxa"/>
              <w:bottom w:w="0" w:type="dxa"/>
            </w:tcMar>
            <w:vAlign w:val="center"/>
          </w:tcPr>
          <w:p w14:paraId="50D22AC2" w14:textId="77777777" w:rsidR="00C472E6" w:rsidRDefault="00840707" w:rsidP="0045108F">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0</w:t>
            </w:r>
          </w:p>
        </w:tc>
      </w:tr>
      <w:tr w:rsidR="00C472E6" w14:paraId="0E39A3EC" w14:textId="77777777">
        <w:tc>
          <w:tcPr>
            <w:tcW w:w="7026" w:type="dxa"/>
            <w:shd w:val="clear" w:color="auto" w:fill="auto"/>
            <w:tcMar>
              <w:top w:w="0" w:type="dxa"/>
              <w:bottom w:w="0" w:type="dxa"/>
            </w:tcMar>
            <w:vAlign w:val="center"/>
          </w:tcPr>
          <w:p w14:paraId="27BF5B52"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Appropriation for emulation and commendation fund</w:t>
            </w:r>
          </w:p>
        </w:tc>
        <w:tc>
          <w:tcPr>
            <w:tcW w:w="1991" w:type="dxa"/>
            <w:shd w:val="clear" w:color="auto" w:fill="auto"/>
            <w:tcMar>
              <w:top w:w="0" w:type="dxa"/>
              <w:bottom w:w="0" w:type="dxa"/>
            </w:tcMar>
            <w:vAlign w:val="center"/>
          </w:tcPr>
          <w:p w14:paraId="731F2E21" w14:textId="77777777" w:rsidR="00C472E6" w:rsidRDefault="00840707" w:rsidP="0045108F">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0</w:t>
            </w:r>
          </w:p>
        </w:tc>
      </w:tr>
      <w:tr w:rsidR="00C472E6" w14:paraId="35A5C4C8" w14:textId="77777777">
        <w:tc>
          <w:tcPr>
            <w:tcW w:w="7026" w:type="dxa"/>
            <w:shd w:val="clear" w:color="auto" w:fill="auto"/>
            <w:tcMar>
              <w:top w:w="0" w:type="dxa"/>
              <w:bottom w:w="0" w:type="dxa"/>
            </w:tcMar>
            <w:vAlign w:val="center"/>
          </w:tcPr>
          <w:p w14:paraId="545258FE"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Appropriation for welfare fund</w:t>
            </w:r>
          </w:p>
        </w:tc>
        <w:tc>
          <w:tcPr>
            <w:tcW w:w="1991" w:type="dxa"/>
            <w:shd w:val="clear" w:color="auto" w:fill="auto"/>
            <w:tcMar>
              <w:top w:w="0" w:type="dxa"/>
              <w:bottom w:w="0" w:type="dxa"/>
            </w:tcMar>
            <w:vAlign w:val="center"/>
          </w:tcPr>
          <w:p w14:paraId="762CF451" w14:textId="77777777" w:rsidR="00C472E6" w:rsidRDefault="00840707" w:rsidP="0045108F">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0</w:t>
            </w:r>
          </w:p>
        </w:tc>
      </w:tr>
      <w:tr w:rsidR="00C472E6" w14:paraId="6D056BEE" w14:textId="77777777">
        <w:tc>
          <w:tcPr>
            <w:tcW w:w="7026" w:type="dxa"/>
            <w:shd w:val="clear" w:color="auto" w:fill="auto"/>
            <w:tcMar>
              <w:top w:w="0" w:type="dxa"/>
              <w:bottom w:w="0" w:type="dxa"/>
            </w:tcMar>
            <w:vAlign w:val="center"/>
          </w:tcPr>
          <w:p w14:paraId="337B0227"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Undistributed profit transferred to 2024</w:t>
            </w:r>
          </w:p>
        </w:tc>
        <w:tc>
          <w:tcPr>
            <w:tcW w:w="1991" w:type="dxa"/>
            <w:shd w:val="clear" w:color="auto" w:fill="auto"/>
            <w:tcMar>
              <w:top w:w="0" w:type="dxa"/>
              <w:bottom w:w="0" w:type="dxa"/>
            </w:tcMar>
            <w:vAlign w:val="center"/>
          </w:tcPr>
          <w:p w14:paraId="110E4F50" w14:textId="77777777" w:rsidR="00C472E6" w:rsidRDefault="00840707" w:rsidP="0045108F">
            <w:pPr>
              <w:pBdr>
                <w:top w:val="nil"/>
                <w:left w:val="nil"/>
                <w:bottom w:val="nil"/>
                <w:right w:val="nil"/>
                <w:between w:val="nil"/>
              </w:pBdr>
              <w:spacing w:after="120" w:line="360" w:lineRule="auto"/>
              <w:ind w:right="89"/>
              <w:jc w:val="both"/>
              <w:rPr>
                <w:rFonts w:ascii="Arial" w:eastAsia="Arial" w:hAnsi="Arial" w:cs="Arial"/>
                <w:color w:val="010000"/>
                <w:sz w:val="20"/>
                <w:szCs w:val="20"/>
              </w:rPr>
            </w:pPr>
            <w:r>
              <w:rPr>
                <w:rFonts w:ascii="Arial" w:hAnsi="Arial"/>
                <w:color w:val="010000"/>
                <w:sz w:val="20"/>
              </w:rPr>
              <w:t>2,656,886,824</w:t>
            </w:r>
          </w:p>
        </w:tc>
      </w:tr>
    </w:tbl>
    <w:p w14:paraId="1E50EA22"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 Approve the selection on the audit company for the Financial Statements 2024, specifically as follows:</w:t>
      </w:r>
    </w:p>
    <w:p w14:paraId="2132D3C0"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selected audit company for the Financial Statements 2024 is:</w:t>
      </w:r>
    </w:p>
    <w:p w14:paraId="35F22579" w14:textId="77777777" w:rsidR="00C472E6" w:rsidRDefault="00840707" w:rsidP="0045108F">
      <w:pPr>
        <w:numPr>
          <w:ilvl w:val="0"/>
          <w:numId w:val="4"/>
        </w:numPr>
        <w:pBdr>
          <w:top w:val="nil"/>
          <w:left w:val="nil"/>
          <w:bottom w:val="nil"/>
          <w:right w:val="nil"/>
          <w:between w:val="nil"/>
        </w:pBdr>
        <w:tabs>
          <w:tab w:val="left" w:pos="550"/>
        </w:tabs>
        <w:spacing w:after="120" w:line="360" w:lineRule="auto"/>
        <w:jc w:val="both"/>
        <w:rPr>
          <w:rFonts w:ascii="Arial" w:eastAsia="Arial" w:hAnsi="Arial" w:cs="Arial"/>
          <w:color w:val="010000"/>
          <w:sz w:val="20"/>
          <w:szCs w:val="20"/>
        </w:rPr>
      </w:pPr>
      <w:r>
        <w:rPr>
          <w:rFonts w:ascii="Arial" w:hAnsi="Arial"/>
          <w:color w:val="010000"/>
          <w:sz w:val="20"/>
        </w:rPr>
        <w:t>Name of company: A&amp;C Auditing and Consulting Company Limited - Hanoi Branch</w:t>
      </w:r>
    </w:p>
    <w:p w14:paraId="259459B1" w14:textId="116E4580"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Head office address: No. 40, Giang Vo Street, Dong Da Ward, Hanoi</w:t>
      </w:r>
    </w:p>
    <w:p w14:paraId="4741A0C2"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Business code: 0300449815-002</w:t>
      </w:r>
    </w:p>
    <w:p w14:paraId="3BC11AED"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Or </w:t>
      </w:r>
    </w:p>
    <w:p w14:paraId="7A32D7E0" w14:textId="77777777" w:rsidR="00C472E6" w:rsidRDefault="00840707" w:rsidP="0045108F">
      <w:pPr>
        <w:numPr>
          <w:ilvl w:val="0"/>
          <w:numId w:val="4"/>
        </w:numPr>
        <w:pBdr>
          <w:top w:val="nil"/>
          <w:left w:val="nil"/>
          <w:bottom w:val="nil"/>
          <w:right w:val="nil"/>
          <w:between w:val="nil"/>
        </w:pBdr>
        <w:tabs>
          <w:tab w:val="left" w:pos="550"/>
        </w:tabs>
        <w:spacing w:after="120" w:line="360" w:lineRule="auto"/>
        <w:jc w:val="both"/>
        <w:rPr>
          <w:rFonts w:ascii="Arial" w:eastAsia="Arial" w:hAnsi="Arial" w:cs="Arial"/>
          <w:color w:val="010000"/>
          <w:sz w:val="20"/>
          <w:szCs w:val="20"/>
        </w:rPr>
      </w:pPr>
      <w:r>
        <w:rPr>
          <w:rFonts w:ascii="Arial" w:hAnsi="Arial"/>
          <w:color w:val="010000"/>
          <w:sz w:val="20"/>
        </w:rPr>
        <w:t>Name of company: AFC Vietnam Auditing Company Limited Northern Branch</w:t>
      </w:r>
    </w:p>
    <w:p w14:paraId="0B90AE28"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707, Sunrise Building D11, Tran Thai Tong Street, Dich </w:t>
      </w:r>
      <w:proofErr w:type="spellStart"/>
      <w:r>
        <w:rPr>
          <w:rFonts w:ascii="Arial" w:hAnsi="Arial"/>
          <w:color w:val="010000"/>
          <w:sz w:val="20"/>
        </w:rPr>
        <w:t>Vong</w:t>
      </w:r>
      <w:proofErr w:type="spellEnd"/>
      <w:r>
        <w:rPr>
          <w:rFonts w:ascii="Arial" w:hAnsi="Arial"/>
          <w:color w:val="010000"/>
          <w:sz w:val="20"/>
        </w:rPr>
        <w:t xml:space="preserve"> </w:t>
      </w:r>
      <w:proofErr w:type="spellStart"/>
      <w:r>
        <w:rPr>
          <w:rFonts w:ascii="Arial" w:hAnsi="Arial"/>
          <w:color w:val="010000"/>
          <w:sz w:val="20"/>
        </w:rPr>
        <w:t>Hau</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 Business code: 0300448995-004</w:t>
      </w:r>
    </w:p>
    <w:p w14:paraId="4875D8B9"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 select 01 of the 02 companies to audit the Financial Statements 2024 of the Company.</w:t>
      </w:r>
    </w:p>
    <w:p w14:paraId="6C0800C7" w14:textId="77777777" w:rsidR="00C472E6" w:rsidRDefault="00840707" w:rsidP="0045108F">
      <w:pPr>
        <w:pBdr>
          <w:top w:val="nil"/>
          <w:left w:val="nil"/>
          <w:bottom w:val="nil"/>
          <w:right w:val="nil"/>
          <w:between w:val="nil"/>
        </w:pBdr>
        <w:tabs>
          <w:tab w:val="left" w:pos="8971"/>
        </w:tabs>
        <w:spacing w:after="120" w:line="360" w:lineRule="auto"/>
        <w:jc w:val="both"/>
        <w:rPr>
          <w:rFonts w:ascii="Arial" w:eastAsia="Arial" w:hAnsi="Arial" w:cs="Arial"/>
          <w:color w:val="010000"/>
          <w:sz w:val="20"/>
          <w:szCs w:val="20"/>
        </w:rPr>
      </w:pPr>
      <w:r>
        <w:rPr>
          <w:rFonts w:ascii="Arial" w:hAnsi="Arial"/>
          <w:color w:val="010000"/>
          <w:sz w:val="20"/>
        </w:rPr>
        <w:t>‎‎Article 7. Approve the settlement on the use of proceed obtained from the private placement to increase charter capital of the Company in 2022 (details as per Proposal No. 04/2024/</w:t>
      </w:r>
      <w:proofErr w:type="spellStart"/>
      <w:r>
        <w:rPr>
          <w:rFonts w:ascii="Arial" w:hAnsi="Arial"/>
          <w:color w:val="010000"/>
          <w:sz w:val="20"/>
        </w:rPr>
        <w:t>TTr</w:t>
      </w:r>
      <w:proofErr w:type="spellEnd"/>
      <w:r>
        <w:rPr>
          <w:rFonts w:ascii="Arial" w:hAnsi="Arial"/>
          <w:color w:val="010000"/>
          <w:sz w:val="20"/>
        </w:rPr>
        <w:t xml:space="preserve">-HDQT-CMH dated April 02, 2024 of the Board of Directors) </w:t>
      </w:r>
    </w:p>
    <w:p w14:paraId="0A12CEC1" w14:textId="717F1A6A" w:rsidR="00C472E6" w:rsidRDefault="00840707" w:rsidP="0045108F">
      <w:pPr>
        <w:numPr>
          <w:ilvl w:val="0"/>
          <w:numId w:val="5"/>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Total number of issued shares: 8,252,500 shares, equivalent to 23.99% of the total offered shares, in which:</w:t>
      </w:r>
    </w:p>
    <w:p w14:paraId="0E926A5A" w14:textId="77777777" w:rsidR="00C472E6" w:rsidRDefault="00840707" w:rsidP="0045108F">
      <w:pPr>
        <w:numPr>
          <w:ilvl w:val="0"/>
          <w:numId w:val="3"/>
        </w:numPr>
        <w:pBdr>
          <w:top w:val="nil"/>
          <w:left w:val="nil"/>
          <w:bottom w:val="nil"/>
          <w:right w:val="nil"/>
          <w:between w:val="nil"/>
        </w:pBdr>
        <w:tabs>
          <w:tab w:val="left" w:pos="567"/>
          <w:tab w:val="left" w:pos="1418"/>
        </w:tabs>
        <w:spacing w:after="120" w:line="360" w:lineRule="auto"/>
        <w:jc w:val="both"/>
        <w:rPr>
          <w:rFonts w:ascii="Arial" w:eastAsia="Arial" w:hAnsi="Arial" w:cs="Arial"/>
          <w:color w:val="010000"/>
          <w:sz w:val="20"/>
          <w:szCs w:val="20"/>
        </w:rPr>
      </w:pPr>
      <w:r>
        <w:rPr>
          <w:rFonts w:ascii="Arial" w:hAnsi="Arial"/>
          <w:color w:val="010000"/>
          <w:sz w:val="20"/>
        </w:rPr>
        <w:t>Domestic investors: 8,252,500 shares;</w:t>
      </w:r>
    </w:p>
    <w:p w14:paraId="2206C6EE" w14:textId="77777777" w:rsidR="00C472E6" w:rsidRDefault="00840707" w:rsidP="0045108F">
      <w:pPr>
        <w:numPr>
          <w:ilvl w:val="0"/>
          <w:numId w:val="3"/>
        </w:numPr>
        <w:pBdr>
          <w:top w:val="nil"/>
          <w:left w:val="nil"/>
          <w:bottom w:val="nil"/>
          <w:right w:val="nil"/>
          <w:between w:val="nil"/>
        </w:pBdr>
        <w:tabs>
          <w:tab w:val="left" w:pos="567"/>
          <w:tab w:val="left" w:pos="1418"/>
        </w:tabs>
        <w:spacing w:after="120" w:line="360" w:lineRule="auto"/>
        <w:jc w:val="both"/>
        <w:rPr>
          <w:rFonts w:ascii="Arial" w:eastAsia="Arial" w:hAnsi="Arial" w:cs="Arial"/>
          <w:color w:val="010000"/>
          <w:sz w:val="20"/>
          <w:szCs w:val="20"/>
        </w:rPr>
      </w:pPr>
      <w:r>
        <w:rPr>
          <w:rFonts w:ascii="Arial" w:hAnsi="Arial"/>
          <w:color w:val="010000"/>
          <w:sz w:val="20"/>
        </w:rPr>
        <w:t>Foreign investors, economic organizations with foreign investors holding over 50% of the charter capital: 0 share.</w:t>
      </w:r>
    </w:p>
    <w:p w14:paraId="790A4FD4" w14:textId="77777777" w:rsidR="00C472E6" w:rsidRDefault="00840707" w:rsidP="0045108F">
      <w:pPr>
        <w:numPr>
          <w:ilvl w:val="0"/>
          <w:numId w:val="5"/>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Selling price:</w:t>
      </w:r>
    </w:p>
    <w:p w14:paraId="1BA58123" w14:textId="77777777" w:rsidR="00C472E6" w:rsidRDefault="00840707" w:rsidP="0045108F">
      <w:pPr>
        <w:numPr>
          <w:ilvl w:val="0"/>
          <w:numId w:val="3"/>
        </w:numPr>
        <w:pBdr>
          <w:top w:val="nil"/>
          <w:left w:val="nil"/>
          <w:bottom w:val="nil"/>
          <w:right w:val="nil"/>
          <w:between w:val="nil"/>
        </w:pBdr>
        <w:tabs>
          <w:tab w:val="left" w:pos="567"/>
          <w:tab w:val="left" w:pos="1418"/>
        </w:tabs>
        <w:spacing w:after="120" w:line="360" w:lineRule="auto"/>
        <w:jc w:val="both"/>
        <w:rPr>
          <w:rFonts w:ascii="Arial" w:eastAsia="Arial" w:hAnsi="Arial" w:cs="Arial"/>
          <w:color w:val="010000"/>
          <w:sz w:val="20"/>
          <w:szCs w:val="20"/>
        </w:rPr>
      </w:pPr>
      <w:r>
        <w:rPr>
          <w:rFonts w:ascii="Arial" w:hAnsi="Arial"/>
          <w:color w:val="010000"/>
          <w:sz w:val="20"/>
        </w:rPr>
        <w:t>Floor price: VND 10,000/ share</w:t>
      </w:r>
    </w:p>
    <w:p w14:paraId="3757DEC7" w14:textId="77777777" w:rsidR="00C472E6" w:rsidRDefault="00840707" w:rsidP="0045108F">
      <w:pPr>
        <w:numPr>
          <w:ilvl w:val="0"/>
          <w:numId w:val="3"/>
        </w:numPr>
        <w:pBdr>
          <w:top w:val="nil"/>
          <w:left w:val="nil"/>
          <w:bottom w:val="nil"/>
          <w:right w:val="nil"/>
          <w:between w:val="nil"/>
        </w:pBdr>
        <w:tabs>
          <w:tab w:val="left" w:pos="567"/>
          <w:tab w:val="left" w:pos="1418"/>
        </w:tabs>
        <w:spacing w:after="120" w:line="360" w:lineRule="auto"/>
        <w:jc w:val="both"/>
        <w:rPr>
          <w:rFonts w:ascii="Arial" w:eastAsia="Arial" w:hAnsi="Arial" w:cs="Arial"/>
          <w:color w:val="010000"/>
          <w:sz w:val="20"/>
          <w:szCs w:val="20"/>
        </w:rPr>
      </w:pPr>
      <w:r>
        <w:rPr>
          <w:rFonts w:ascii="Arial" w:hAnsi="Arial"/>
          <w:color w:val="010000"/>
          <w:sz w:val="20"/>
        </w:rPr>
        <w:t>Ceiling price: VND 10,000/share.</w:t>
      </w:r>
    </w:p>
    <w:p w14:paraId="410A4193" w14:textId="77777777" w:rsidR="00C472E6" w:rsidRDefault="00840707" w:rsidP="0045108F">
      <w:pPr>
        <w:numPr>
          <w:ilvl w:val="0"/>
          <w:numId w:val="3"/>
        </w:numPr>
        <w:pBdr>
          <w:top w:val="nil"/>
          <w:left w:val="nil"/>
          <w:bottom w:val="nil"/>
          <w:right w:val="nil"/>
          <w:between w:val="nil"/>
        </w:pBdr>
        <w:tabs>
          <w:tab w:val="left" w:pos="567"/>
          <w:tab w:val="left" w:pos="1422"/>
        </w:tabs>
        <w:spacing w:after="120" w:line="360" w:lineRule="auto"/>
        <w:jc w:val="both"/>
        <w:rPr>
          <w:rFonts w:ascii="Arial" w:eastAsia="Arial" w:hAnsi="Arial" w:cs="Arial"/>
          <w:color w:val="010000"/>
          <w:sz w:val="20"/>
          <w:szCs w:val="20"/>
        </w:rPr>
      </w:pPr>
      <w:r>
        <w:rPr>
          <w:rFonts w:ascii="Arial" w:hAnsi="Arial"/>
          <w:color w:val="010000"/>
          <w:sz w:val="20"/>
        </w:rPr>
        <w:t>Weighted average price: VND 10,000/share.</w:t>
      </w:r>
    </w:p>
    <w:p w14:paraId="4182709B" w14:textId="467E3082" w:rsidR="00C472E6" w:rsidRDefault="00CB6042" w:rsidP="0045108F">
      <w:pPr>
        <w:numPr>
          <w:ilvl w:val="0"/>
          <w:numId w:val="5"/>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lastRenderedPageBreak/>
        <w:t>Total</w:t>
      </w:r>
      <w:r w:rsidR="00840707">
        <w:rPr>
          <w:rFonts w:ascii="Arial" w:hAnsi="Arial"/>
          <w:color w:val="010000"/>
          <w:sz w:val="20"/>
        </w:rPr>
        <w:t xml:space="preserve"> proceed obtained from the offering: VND 82,525,000,000.</w:t>
      </w:r>
    </w:p>
    <w:p w14:paraId="4426B9BC" w14:textId="77777777" w:rsidR="00C472E6" w:rsidRDefault="00840707" w:rsidP="0045108F">
      <w:pPr>
        <w:numPr>
          <w:ilvl w:val="0"/>
          <w:numId w:val="5"/>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Total expenses: VND 230,000,000.</w:t>
      </w:r>
    </w:p>
    <w:p w14:paraId="1CB02975" w14:textId="77777777" w:rsidR="00C472E6" w:rsidRDefault="00840707" w:rsidP="0045108F">
      <w:pPr>
        <w:numPr>
          <w:ilvl w:val="0"/>
          <w:numId w:val="3"/>
        </w:numPr>
        <w:pBdr>
          <w:top w:val="nil"/>
          <w:left w:val="nil"/>
          <w:bottom w:val="nil"/>
          <w:right w:val="nil"/>
          <w:between w:val="nil"/>
        </w:pBdr>
        <w:tabs>
          <w:tab w:val="left" w:pos="567"/>
          <w:tab w:val="left" w:pos="1422"/>
        </w:tabs>
        <w:spacing w:after="120" w:line="360" w:lineRule="auto"/>
        <w:jc w:val="both"/>
        <w:rPr>
          <w:rFonts w:ascii="Arial" w:eastAsia="Arial" w:hAnsi="Arial" w:cs="Arial"/>
          <w:color w:val="010000"/>
          <w:sz w:val="20"/>
          <w:szCs w:val="20"/>
        </w:rPr>
      </w:pPr>
      <w:r>
        <w:rPr>
          <w:rFonts w:ascii="Arial" w:hAnsi="Arial"/>
          <w:color w:val="010000"/>
          <w:sz w:val="20"/>
        </w:rPr>
        <w:t>Consultant expense: VND 200,000,000</w:t>
      </w:r>
    </w:p>
    <w:p w14:paraId="2D331DE9" w14:textId="77777777" w:rsidR="00C472E6" w:rsidRDefault="00840707" w:rsidP="0045108F">
      <w:pPr>
        <w:numPr>
          <w:ilvl w:val="0"/>
          <w:numId w:val="3"/>
        </w:numPr>
        <w:pBdr>
          <w:top w:val="nil"/>
          <w:left w:val="nil"/>
          <w:bottom w:val="nil"/>
          <w:right w:val="nil"/>
          <w:between w:val="nil"/>
        </w:pBdr>
        <w:tabs>
          <w:tab w:val="left" w:pos="567"/>
          <w:tab w:val="left" w:pos="1422"/>
        </w:tabs>
        <w:spacing w:after="120" w:line="360" w:lineRule="auto"/>
        <w:jc w:val="both"/>
        <w:rPr>
          <w:rFonts w:ascii="Arial" w:eastAsia="Arial" w:hAnsi="Arial" w:cs="Arial"/>
          <w:color w:val="010000"/>
          <w:sz w:val="20"/>
          <w:szCs w:val="20"/>
        </w:rPr>
      </w:pPr>
      <w:r>
        <w:rPr>
          <w:rFonts w:ascii="Arial" w:hAnsi="Arial"/>
          <w:color w:val="010000"/>
          <w:sz w:val="20"/>
        </w:rPr>
        <w:t>Fee for auditing owner’s equity: VND 30,000,000.</w:t>
      </w:r>
    </w:p>
    <w:p w14:paraId="1D0F3429" w14:textId="77777777" w:rsidR="00C472E6" w:rsidRDefault="00840707" w:rsidP="0045108F">
      <w:pPr>
        <w:numPr>
          <w:ilvl w:val="0"/>
          <w:numId w:val="5"/>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Total net proceeds from the offering: VND 82,272,600,000.</w:t>
      </w:r>
    </w:p>
    <w:p w14:paraId="6B50CB6E" w14:textId="77777777" w:rsidR="00C472E6" w:rsidRDefault="00840707" w:rsidP="0045108F">
      <w:pPr>
        <w:numPr>
          <w:ilvl w:val="0"/>
          <w:numId w:val="5"/>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Report on the use of proceeds obtained from the private placement to increase charter capital in 2022</w:t>
      </w:r>
    </w:p>
    <w:p w14:paraId="15992031"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As of December 31, 2023, the Company has used the proceed obtained from the private placement for plans on using proceed approved by the General Meeting of Shareholders, specifically as follows:</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
        <w:gridCol w:w="3415"/>
        <w:gridCol w:w="1865"/>
        <w:gridCol w:w="1805"/>
        <w:gridCol w:w="1525"/>
      </w:tblGrid>
      <w:tr w:rsidR="00C472E6" w14:paraId="24CD91D7" w14:textId="77777777">
        <w:tc>
          <w:tcPr>
            <w:tcW w:w="407" w:type="dxa"/>
            <w:shd w:val="clear" w:color="auto" w:fill="auto"/>
            <w:tcMar>
              <w:top w:w="0" w:type="dxa"/>
              <w:bottom w:w="0" w:type="dxa"/>
            </w:tcMar>
            <w:vAlign w:val="center"/>
          </w:tcPr>
          <w:p w14:paraId="2E74BA90"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3415" w:type="dxa"/>
            <w:shd w:val="clear" w:color="auto" w:fill="auto"/>
            <w:tcMar>
              <w:top w:w="0" w:type="dxa"/>
              <w:bottom w:w="0" w:type="dxa"/>
            </w:tcMar>
            <w:vAlign w:val="center"/>
          </w:tcPr>
          <w:p w14:paraId="4F25FA15"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Contents</w:t>
            </w:r>
          </w:p>
        </w:tc>
        <w:tc>
          <w:tcPr>
            <w:tcW w:w="1865" w:type="dxa"/>
            <w:shd w:val="clear" w:color="auto" w:fill="auto"/>
            <w:tcMar>
              <w:top w:w="0" w:type="dxa"/>
              <w:bottom w:w="0" w:type="dxa"/>
            </w:tcMar>
            <w:vAlign w:val="center"/>
          </w:tcPr>
          <w:p w14:paraId="7EF7D450"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2022</w:t>
            </w:r>
          </w:p>
          <w:p w14:paraId="0498F55B"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w:t>
            </w:r>
          </w:p>
        </w:tc>
        <w:tc>
          <w:tcPr>
            <w:tcW w:w="1805" w:type="dxa"/>
            <w:shd w:val="clear" w:color="auto" w:fill="auto"/>
            <w:tcMar>
              <w:top w:w="0" w:type="dxa"/>
              <w:bottom w:w="0" w:type="dxa"/>
            </w:tcMar>
            <w:vAlign w:val="center"/>
          </w:tcPr>
          <w:p w14:paraId="7B0953EF"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2023 (VND)</w:t>
            </w:r>
          </w:p>
        </w:tc>
        <w:tc>
          <w:tcPr>
            <w:tcW w:w="1525" w:type="dxa"/>
            <w:shd w:val="clear" w:color="auto" w:fill="auto"/>
            <w:tcMar>
              <w:top w:w="0" w:type="dxa"/>
              <w:bottom w:w="0" w:type="dxa"/>
            </w:tcMar>
            <w:vAlign w:val="center"/>
          </w:tcPr>
          <w:p w14:paraId="2FE5FAA6"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(VND)</w:t>
            </w:r>
          </w:p>
        </w:tc>
      </w:tr>
      <w:tr w:rsidR="00C472E6" w14:paraId="2029F004" w14:textId="77777777">
        <w:tc>
          <w:tcPr>
            <w:tcW w:w="407" w:type="dxa"/>
            <w:shd w:val="clear" w:color="auto" w:fill="auto"/>
            <w:tcMar>
              <w:top w:w="0" w:type="dxa"/>
              <w:bottom w:w="0" w:type="dxa"/>
            </w:tcMar>
            <w:vAlign w:val="center"/>
          </w:tcPr>
          <w:p w14:paraId="7D60AF48"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3415" w:type="dxa"/>
            <w:shd w:val="clear" w:color="auto" w:fill="auto"/>
            <w:tcMar>
              <w:top w:w="0" w:type="dxa"/>
              <w:bottom w:w="0" w:type="dxa"/>
            </w:tcMar>
            <w:vAlign w:val="center"/>
          </w:tcPr>
          <w:p w14:paraId="0131569F"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obtained proceed</w:t>
            </w:r>
          </w:p>
        </w:tc>
        <w:tc>
          <w:tcPr>
            <w:tcW w:w="1865" w:type="dxa"/>
            <w:shd w:val="clear" w:color="auto" w:fill="auto"/>
            <w:tcMar>
              <w:top w:w="0" w:type="dxa"/>
              <w:bottom w:w="0" w:type="dxa"/>
            </w:tcMar>
            <w:vAlign w:val="center"/>
          </w:tcPr>
          <w:p w14:paraId="5CD4AFCE"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82,525,000,000</w:t>
            </w:r>
          </w:p>
        </w:tc>
        <w:tc>
          <w:tcPr>
            <w:tcW w:w="1805" w:type="dxa"/>
            <w:shd w:val="clear" w:color="auto" w:fill="auto"/>
            <w:tcMar>
              <w:top w:w="0" w:type="dxa"/>
              <w:bottom w:w="0" w:type="dxa"/>
            </w:tcMar>
            <w:vAlign w:val="center"/>
          </w:tcPr>
          <w:p w14:paraId="66696BD1"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0</w:t>
            </w:r>
          </w:p>
        </w:tc>
        <w:tc>
          <w:tcPr>
            <w:tcW w:w="1525" w:type="dxa"/>
            <w:shd w:val="clear" w:color="auto" w:fill="auto"/>
            <w:tcMar>
              <w:top w:w="0" w:type="dxa"/>
              <w:bottom w:w="0" w:type="dxa"/>
            </w:tcMar>
            <w:vAlign w:val="center"/>
          </w:tcPr>
          <w:p w14:paraId="755A3180"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82,525,000,000</w:t>
            </w:r>
          </w:p>
        </w:tc>
      </w:tr>
      <w:tr w:rsidR="00C472E6" w14:paraId="68B407B5" w14:textId="77777777">
        <w:tc>
          <w:tcPr>
            <w:tcW w:w="407" w:type="dxa"/>
            <w:shd w:val="clear" w:color="auto" w:fill="auto"/>
            <w:tcMar>
              <w:top w:w="0" w:type="dxa"/>
              <w:bottom w:w="0" w:type="dxa"/>
            </w:tcMar>
            <w:vAlign w:val="center"/>
          </w:tcPr>
          <w:p w14:paraId="03E98E51"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3415" w:type="dxa"/>
            <w:shd w:val="clear" w:color="auto" w:fill="auto"/>
            <w:tcMar>
              <w:top w:w="0" w:type="dxa"/>
              <w:bottom w:w="0" w:type="dxa"/>
            </w:tcMar>
            <w:vAlign w:val="center"/>
          </w:tcPr>
          <w:p w14:paraId="32056A21"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expenses for the issuance</w:t>
            </w:r>
          </w:p>
        </w:tc>
        <w:tc>
          <w:tcPr>
            <w:tcW w:w="1865" w:type="dxa"/>
            <w:shd w:val="clear" w:color="auto" w:fill="auto"/>
            <w:tcMar>
              <w:top w:w="0" w:type="dxa"/>
              <w:bottom w:w="0" w:type="dxa"/>
            </w:tcMar>
            <w:vAlign w:val="center"/>
          </w:tcPr>
          <w:p w14:paraId="14C55061"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252,400,000</w:t>
            </w:r>
          </w:p>
        </w:tc>
        <w:tc>
          <w:tcPr>
            <w:tcW w:w="1805" w:type="dxa"/>
            <w:shd w:val="clear" w:color="auto" w:fill="auto"/>
            <w:tcMar>
              <w:top w:w="0" w:type="dxa"/>
              <w:bottom w:w="0" w:type="dxa"/>
            </w:tcMar>
            <w:vAlign w:val="center"/>
          </w:tcPr>
          <w:p w14:paraId="70A94B4A"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0</w:t>
            </w:r>
          </w:p>
        </w:tc>
        <w:tc>
          <w:tcPr>
            <w:tcW w:w="1525" w:type="dxa"/>
            <w:shd w:val="clear" w:color="auto" w:fill="auto"/>
            <w:tcMar>
              <w:top w:w="0" w:type="dxa"/>
              <w:bottom w:w="0" w:type="dxa"/>
            </w:tcMar>
            <w:vAlign w:val="center"/>
          </w:tcPr>
          <w:p w14:paraId="29BA3C9C"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252,400,000</w:t>
            </w:r>
          </w:p>
        </w:tc>
      </w:tr>
      <w:tr w:rsidR="00C472E6" w14:paraId="32C8CC41" w14:textId="77777777">
        <w:tc>
          <w:tcPr>
            <w:tcW w:w="407" w:type="dxa"/>
            <w:shd w:val="clear" w:color="auto" w:fill="auto"/>
            <w:tcMar>
              <w:top w:w="0" w:type="dxa"/>
              <w:bottom w:w="0" w:type="dxa"/>
            </w:tcMar>
            <w:vAlign w:val="center"/>
          </w:tcPr>
          <w:p w14:paraId="5D989F31" w14:textId="77777777" w:rsidR="00C472E6" w:rsidRDefault="00C472E6" w:rsidP="0045108F">
            <w:pPr>
              <w:spacing w:after="120" w:line="360" w:lineRule="auto"/>
              <w:jc w:val="both"/>
              <w:rPr>
                <w:rFonts w:ascii="Arial" w:eastAsia="Arial" w:hAnsi="Arial" w:cs="Arial"/>
                <w:color w:val="010000"/>
                <w:sz w:val="20"/>
                <w:szCs w:val="20"/>
              </w:rPr>
            </w:pPr>
          </w:p>
        </w:tc>
        <w:tc>
          <w:tcPr>
            <w:tcW w:w="3415" w:type="dxa"/>
            <w:shd w:val="clear" w:color="auto" w:fill="auto"/>
            <w:tcMar>
              <w:top w:w="0" w:type="dxa"/>
              <w:bottom w:w="0" w:type="dxa"/>
            </w:tcMar>
            <w:vAlign w:val="center"/>
          </w:tcPr>
          <w:p w14:paraId="431FFEFB"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which:</w:t>
            </w:r>
          </w:p>
          <w:p w14:paraId="3D85B767" w14:textId="77777777" w:rsidR="00C472E6" w:rsidRDefault="00840707" w:rsidP="0045108F">
            <w:pPr>
              <w:numPr>
                <w:ilvl w:val="0"/>
                <w:numId w:val="1"/>
              </w:numPr>
              <w:pBdr>
                <w:top w:val="nil"/>
                <w:left w:val="nil"/>
                <w:bottom w:val="nil"/>
                <w:right w:val="nil"/>
                <w:between w:val="nil"/>
              </w:pBdr>
              <w:tabs>
                <w:tab w:val="left" w:pos="211"/>
              </w:tabs>
              <w:spacing w:after="120" w:line="360" w:lineRule="auto"/>
              <w:jc w:val="both"/>
              <w:rPr>
                <w:rFonts w:ascii="Arial" w:eastAsia="Arial" w:hAnsi="Arial" w:cs="Arial"/>
                <w:color w:val="010000"/>
                <w:sz w:val="20"/>
                <w:szCs w:val="20"/>
              </w:rPr>
            </w:pPr>
            <w:r>
              <w:rPr>
                <w:rFonts w:ascii="Arial" w:hAnsi="Arial"/>
                <w:color w:val="010000"/>
                <w:sz w:val="20"/>
              </w:rPr>
              <w:t>Expense for the consultancy service on the issuance</w:t>
            </w:r>
          </w:p>
          <w:p w14:paraId="4DD9CA8D" w14:textId="77777777" w:rsidR="00C472E6" w:rsidRDefault="00840707" w:rsidP="0045108F">
            <w:pPr>
              <w:numPr>
                <w:ilvl w:val="0"/>
                <w:numId w:val="1"/>
              </w:numPr>
              <w:pBdr>
                <w:top w:val="nil"/>
                <w:left w:val="nil"/>
                <w:bottom w:val="nil"/>
                <w:right w:val="nil"/>
                <w:between w:val="nil"/>
              </w:pBdr>
              <w:tabs>
                <w:tab w:val="left" w:pos="216"/>
              </w:tabs>
              <w:spacing w:after="120" w:line="360" w:lineRule="auto"/>
              <w:jc w:val="both"/>
              <w:rPr>
                <w:rFonts w:ascii="Arial" w:eastAsia="Arial" w:hAnsi="Arial" w:cs="Arial"/>
                <w:color w:val="010000"/>
                <w:sz w:val="20"/>
                <w:szCs w:val="20"/>
              </w:rPr>
            </w:pPr>
            <w:r>
              <w:rPr>
                <w:rFonts w:ascii="Arial" w:hAnsi="Arial"/>
                <w:color w:val="010000"/>
                <w:sz w:val="20"/>
              </w:rPr>
              <w:t>Expense for the service of auditing capital</w:t>
            </w:r>
          </w:p>
        </w:tc>
        <w:tc>
          <w:tcPr>
            <w:tcW w:w="1865" w:type="dxa"/>
            <w:shd w:val="clear" w:color="auto" w:fill="auto"/>
            <w:tcMar>
              <w:top w:w="0" w:type="dxa"/>
              <w:bottom w:w="0" w:type="dxa"/>
            </w:tcMar>
            <w:vAlign w:val="center"/>
          </w:tcPr>
          <w:p w14:paraId="373C5EC9" w14:textId="59DBF4FD"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220</w:t>
            </w:r>
            <w:r w:rsidR="00CB6042">
              <w:rPr>
                <w:rFonts w:ascii="Arial" w:hAnsi="Arial"/>
                <w:color w:val="010000"/>
                <w:sz w:val="20"/>
              </w:rPr>
              <w:t>,</w:t>
            </w:r>
            <w:r>
              <w:rPr>
                <w:rFonts w:ascii="Arial" w:hAnsi="Arial"/>
                <w:color w:val="010000"/>
                <w:sz w:val="20"/>
              </w:rPr>
              <w:t>000</w:t>
            </w:r>
            <w:r w:rsidR="00CB6042">
              <w:rPr>
                <w:rFonts w:ascii="Arial" w:hAnsi="Arial"/>
                <w:color w:val="010000"/>
                <w:sz w:val="20"/>
              </w:rPr>
              <w:t>,</w:t>
            </w:r>
            <w:r>
              <w:rPr>
                <w:rFonts w:ascii="Arial" w:hAnsi="Arial"/>
                <w:color w:val="010000"/>
                <w:sz w:val="20"/>
              </w:rPr>
              <w:t>000</w:t>
            </w:r>
          </w:p>
          <w:p w14:paraId="220D1D83"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32,400,000</w:t>
            </w:r>
          </w:p>
        </w:tc>
        <w:tc>
          <w:tcPr>
            <w:tcW w:w="1805" w:type="dxa"/>
            <w:shd w:val="clear" w:color="auto" w:fill="auto"/>
            <w:tcMar>
              <w:top w:w="0" w:type="dxa"/>
              <w:bottom w:w="0" w:type="dxa"/>
            </w:tcMar>
            <w:vAlign w:val="center"/>
          </w:tcPr>
          <w:p w14:paraId="6C31F1EB"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0</w:t>
            </w:r>
          </w:p>
          <w:p w14:paraId="531AC193"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0</w:t>
            </w:r>
          </w:p>
        </w:tc>
        <w:tc>
          <w:tcPr>
            <w:tcW w:w="1525" w:type="dxa"/>
            <w:shd w:val="clear" w:color="auto" w:fill="auto"/>
            <w:tcMar>
              <w:top w:w="0" w:type="dxa"/>
              <w:bottom w:w="0" w:type="dxa"/>
            </w:tcMar>
            <w:vAlign w:val="center"/>
          </w:tcPr>
          <w:p w14:paraId="44811252"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220,000,000</w:t>
            </w:r>
          </w:p>
          <w:p w14:paraId="26A8BF8A"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32,400,000</w:t>
            </w:r>
          </w:p>
        </w:tc>
      </w:tr>
      <w:tr w:rsidR="00C472E6" w14:paraId="407D8B3D" w14:textId="77777777">
        <w:tc>
          <w:tcPr>
            <w:tcW w:w="407" w:type="dxa"/>
            <w:shd w:val="clear" w:color="auto" w:fill="auto"/>
            <w:tcMar>
              <w:top w:w="0" w:type="dxa"/>
              <w:bottom w:w="0" w:type="dxa"/>
            </w:tcMar>
            <w:vAlign w:val="center"/>
          </w:tcPr>
          <w:p w14:paraId="5C509927"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3415" w:type="dxa"/>
            <w:shd w:val="clear" w:color="auto" w:fill="auto"/>
            <w:tcMar>
              <w:top w:w="0" w:type="dxa"/>
              <w:bottom w:w="0" w:type="dxa"/>
            </w:tcMar>
            <w:vAlign w:val="center"/>
          </w:tcPr>
          <w:p w14:paraId="1B104835"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money used for the purpose of paying the equipment rentals, salary, payables to subcontractors, purchasing supplies, raw materials, input fuel for construction contracts, etc.</w:t>
            </w:r>
          </w:p>
        </w:tc>
        <w:tc>
          <w:tcPr>
            <w:tcW w:w="1865" w:type="dxa"/>
            <w:shd w:val="clear" w:color="auto" w:fill="auto"/>
            <w:tcMar>
              <w:top w:w="0" w:type="dxa"/>
              <w:bottom w:w="0" w:type="dxa"/>
            </w:tcMar>
            <w:vAlign w:val="center"/>
          </w:tcPr>
          <w:p w14:paraId="5AAEE754"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27,705,449,081</w:t>
            </w:r>
          </w:p>
        </w:tc>
        <w:tc>
          <w:tcPr>
            <w:tcW w:w="1805" w:type="dxa"/>
            <w:shd w:val="clear" w:color="auto" w:fill="auto"/>
            <w:tcMar>
              <w:top w:w="0" w:type="dxa"/>
              <w:bottom w:w="0" w:type="dxa"/>
            </w:tcMar>
            <w:vAlign w:val="center"/>
          </w:tcPr>
          <w:p w14:paraId="02ED65B3"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54,567,150,919</w:t>
            </w:r>
          </w:p>
        </w:tc>
        <w:tc>
          <w:tcPr>
            <w:tcW w:w="1525" w:type="dxa"/>
            <w:shd w:val="clear" w:color="auto" w:fill="auto"/>
            <w:tcMar>
              <w:top w:w="0" w:type="dxa"/>
              <w:bottom w:w="0" w:type="dxa"/>
            </w:tcMar>
            <w:vAlign w:val="center"/>
          </w:tcPr>
          <w:p w14:paraId="686331E2"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82,272,600,000</w:t>
            </w:r>
          </w:p>
        </w:tc>
      </w:tr>
      <w:tr w:rsidR="00C472E6" w14:paraId="70EC486B" w14:textId="77777777">
        <w:tc>
          <w:tcPr>
            <w:tcW w:w="407" w:type="dxa"/>
            <w:shd w:val="clear" w:color="auto" w:fill="auto"/>
            <w:tcMar>
              <w:top w:w="0" w:type="dxa"/>
              <w:bottom w:w="0" w:type="dxa"/>
            </w:tcMar>
            <w:vAlign w:val="center"/>
          </w:tcPr>
          <w:p w14:paraId="2B536F5D" w14:textId="77777777" w:rsidR="00C472E6" w:rsidRDefault="00C472E6" w:rsidP="0045108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3415" w:type="dxa"/>
            <w:shd w:val="clear" w:color="auto" w:fill="auto"/>
            <w:tcMar>
              <w:top w:w="0" w:type="dxa"/>
              <w:bottom w:w="0" w:type="dxa"/>
            </w:tcMar>
            <w:vAlign w:val="center"/>
          </w:tcPr>
          <w:p w14:paraId="3AE41236"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which, for:</w:t>
            </w:r>
          </w:p>
          <w:p w14:paraId="5A9B69C6" w14:textId="77777777" w:rsidR="00C472E6" w:rsidRDefault="00840707" w:rsidP="0045108F">
            <w:pPr>
              <w:numPr>
                <w:ilvl w:val="0"/>
                <w:numId w:val="2"/>
              </w:numPr>
              <w:pBdr>
                <w:top w:val="nil"/>
                <w:left w:val="nil"/>
                <w:bottom w:val="nil"/>
                <w:right w:val="nil"/>
                <w:between w:val="nil"/>
              </w:pBdr>
              <w:tabs>
                <w:tab w:val="left" w:pos="206"/>
              </w:tabs>
              <w:spacing w:after="120" w:line="360" w:lineRule="auto"/>
              <w:jc w:val="both"/>
              <w:rPr>
                <w:rFonts w:ascii="Arial" w:eastAsia="Arial" w:hAnsi="Arial" w:cs="Arial"/>
                <w:color w:val="010000"/>
                <w:sz w:val="20"/>
                <w:szCs w:val="20"/>
              </w:rPr>
            </w:pPr>
            <w:r>
              <w:rPr>
                <w:rFonts w:ascii="Arial" w:hAnsi="Arial"/>
                <w:color w:val="010000"/>
                <w:sz w:val="20"/>
              </w:rPr>
              <w:t xml:space="preserve">Construction of irrigation works Contract at </w:t>
            </w:r>
            <w:proofErr w:type="spellStart"/>
            <w:r>
              <w:rPr>
                <w:rFonts w:ascii="Arial" w:hAnsi="Arial"/>
                <w:color w:val="010000"/>
                <w:sz w:val="20"/>
              </w:rPr>
              <w:t>Krong</w:t>
            </w:r>
            <w:proofErr w:type="spellEnd"/>
            <w:r>
              <w:rPr>
                <w:rFonts w:ascii="Arial" w:hAnsi="Arial"/>
                <w:color w:val="010000"/>
                <w:sz w:val="20"/>
              </w:rPr>
              <w:t xml:space="preserve"> </w:t>
            </w:r>
            <w:proofErr w:type="spellStart"/>
            <w:r>
              <w:rPr>
                <w:rFonts w:ascii="Arial" w:hAnsi="Arial"/>
                <w:color w:val="010000"/>
                <w:sz w:val="20"/>
              </w:rPr>
              <w:t>Pach</w:t>
            </w:r>
            <w:proofErr w:type="spellEnd"/>
            <w:r>
              <w:rPr>
                <w:rFonts w:ascii="Arial" w:hAnsi="Arial"/>
                <w:color w:val="010000"/>
                <w:sz w:val="20"/>
              </w:rPr>
              <w:t xml:space="preserve"> </w:t>
            </w:r>
            <w:proofErr w:type="spellStart"/>
            <w:r>
              <w:rPr>
                <w:rFonts w:ascii="Arial" w:hAnsi="Arial"/>
                <w:color w:val="010000"/>
                <w:sz w:val="20"/>
              </w:rPr>
              <w:t>Thuong</w:t>
            </w:r>
            <w:proofErr w:type="spellEnd"/>
            <w:r>
              <w:rPr>
                <w:rFonts w:ascii="Arial" w:hAnsi="Arial"/>
                <w:color w:val="010000"/>
                <w:sz w:val="20"/>
              </w:rPr>
              <w:t xml:space="preserve"> Reservoir, </w:t>
            </w:r>
            <w:proofErr w:type="spellStart"/>
            <w:r>
              <w:rPr>
                <w:rFonts w:ascii="Arial" w:hAnsi="Arial"/>
                <w:color w:val="010000"/>
                <w:sz w:val="20"/>
              </w:rPr>
              <w:t>Ea</w:t>
            </w:r>
            <w:proofErr w:type="spellEnd"/>
            <w:r>
              <w:rPr>
                <w:rFonts w:ascii="Arial" w:hAnsi="Arial"/>
                <w:color w:val="010000"/>
                <w:sz w:val="20"/>
              </w:rPr>
              <w:t xml:space="preserve"> </w:t>
            </w:r>
            <w:proofErr w:type="spellStart"/>
            <w:r>
              <w:rPr>
                <w:rFonts w:ascii="Arial" w:hAnsi="Arial"/>
                <w:color w:val="010000"/>
                <w:sz w:val="20"/>
              </w:rPr>
              <w:t>Kar</w:t>
            </w:r>
            <w:proofErr w:type="spellEnd"/>
            <w:r>
              <w:rPr>
                <w:rFonts w:ascii="Arial" w:hAnsi="Arial"/>
                <w:color w:val="010000"/>
                <w:sz w:val="20"/>
              </w:rPr>
              <w:t xml:space="preserve"> District, </w:t>
            </w:r>
            <w:proofErr w:type="spellStart"/>
            <w:r>
              <w:rPr>
                <w:rFonts w:ascii="Arial" w:hAnsi="Arial"/>
                <w:color w:val="010000"/>
                <w:sz w:val="20"/>
              </w:rPr>
              <w:t>Dak</w:t>
            </w:r>
            <w:proofErr w:type="spellEnd"/>
            <w:r>
              <w:rPr>
                <w:rFonts w:ascii="Arial" w:hAnsi="Arial"/>
                <w:color w:val="010000"/>
                <w:sz w:val="20"/>
              </w:rPr>
              <w:t xml:space="preserve"> Lak Province</w:t>
            </w:r>
          </w:p>
        </w:tc>
        <w:tc>
          <w:tcPr>
            <w:tcW w:w="1865" w:type="dxa"/>
            <w:shd w:val="clear" w:color="auto" w:fill="auto"/>
            <w:tcMar>
              <w:top w:w="0" w:type="dxa"/>
              <w:bottom w:w="0" w:type="dxa"/>
            </w:tcMar>
            <w:vAlign w:val="center"/>
          </w:tcPr>
          <w:p w14:paraId="1735A7B3" w14:textId="77777777" w:rsidR="00C472E6" w:rsidRDefault="00840707" w:rsidP="0045108F">
            <w:pPr>
              <w:pBdr>
                <w:top w:val="nil"/>
                <w:left w:val="nil"/>
                <w:bottom w:val="nil"/>
                <w:right w:val="nil"/>
                <w:between w:val="nil"/>
              </w:pBdr>
              <w:spacing w:after="120" w:line="360" w:lineRule="auto"/>
              <w:ind w:right="152"/>
              <w:jc w:val="both"/>
              <w:rPr>
                <w:rFonts w:ascii="Arial" w:eastAsia="Arial" w:hAnsi="Arial" w:cs="Arial"/>
                <w:color w:val="010000"/>
                <w:sz w:val="20"/>
                <w:szCs w:val="20"/>
              </w:rPr>
            </w:pPr>
            <w:r>
              <w:rPr>
                <w:rFonts w:ascii="Arial" w:hAnsi="Arial"/>
                <w:color w:val="010000"/>
                <w:sz w:val="20"/>
              </w:rPr>
              <w:t>5,229,456,185</w:t>
            </w:r>
          </w:p>
          <w:p w14:paraId="006F3E8B" w14:textId="77777777" w:rsidR="00C472E6" w:rsidRDefault="00C472E6" w:rsidP="0045108F">
            <w:pPr>
              <w:pBdr>
                <w:top w:val="nil"/>
                <w:left w:val="nil"/>
                <w:bottom w:val="nil"/>
                <w:right w:val="nil"/>
                <w:between w:val="nil"/>
              </w:pBdr>
              <w:spacing w:after="120" w:line="360" w:lineRule="auto"/>
              <w:ind w:right="152"/>
              <w:jc w:val="both"/>
              <w:rPr>
                <w:rFonts w:ascii="Arial" w:eastAsia="Arial" w:hAnsi="Arial" w:cs="Arial"/>
                <w:color w:val="010000"/>
                <w:sz w:val="20"/>
                <w:szCs w:val="20"/>
              </w:rPr>
            </w:pPr>
          </w:p>
        </w:tc>
        <w:tc>
          <w:tcPr>
            <w:tcW w:w="1805" w:type="dxa"/>
            <w:shd w:val="clear" w:color="auto" w:fill="auto"/>
            <w:tcMar>
              <w:top w:w="0" w:type="dxa"/>
              <w:bottom w:w="0" w:type="dxa"/>
            </w:tcMar>
            <w:vAlign w:val="center"/>
          </w:tcPr>
          <w:p w14:paraId="46BF1D08"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3,541,566,583</w:t>
            </w:r>
          </w:p>
          <w:p w14:paraId="2CC9A123" w14:textId="77777777" w:rsidR="00C472E6" w:rsidRDefault="00C472E6"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p>
        </w:tc>
        <w:tc>
          <w:tcPr>
            <w:tcW w:w="1525" w:type="dxa"/>
            <w:shd w:val="clear" w:color="auto" w:fill="auto"/>
            <w:tcMar>
              <w:top w:w="0" w:type="dxa"/>
              <w:bottom w:w="0" w:type="dxa"/>
            </w:tcMar>
            <w:vAlign w:val="center"/>
          </w:tcPr>
          <w:p w14:paraId="4E3789DD"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8,771,022,768</w:t>
            </w:r>
          </w:p>
          <w:p w14:paraId="43B0CE6F" w14:textId="77777777" w:rsidR="00C472E6" w:rsidRDefault="00C472E6"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p>
        </w:tc>
      </w:tr>
      <w:tr w:rsidR="00C472E6" w14:paraId="6DFB8D61" w14:textId="77777777">
        <w:tc>
          <w:tcPr>
            <w:tcW w:w="407" w:type="dxa"/>
            <w:shd w:val="clear" w:color="auto" w:fill="auto"/>
            <w:tcMar>
              <w:top w:w="0" w:type="dxa"/>
              <w:bottom w:w="0" w:type="dxa"/>
            </w:tcMar>
            <w:vAlign w:val="center"/>
          </w:tcPr>
          <w:p w14:paraId="33A337BE" w14:textId="77777777" w:rsidR="00C472E6" w:rsidRDefault="00C472E6" w:rsidP="0045108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3415" w:type="dxa"/>
            <w:shd w:val="clear" w:color="auto" w:fill="auto"/>
            <w:tcMar>
              <w:top w:w="0" w:type="dxa"/>
              <w:bottom w:w="0" w:type="dxa"/>
            </w:tcMar>
            <w:vAlign w:val="center"/>
          </w:tcPr>
          <w:p w14:paraId="179E4C11"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EPC General Contract at the Housing, Cultural and Sports Complex project in Cam </w:t>
            </w:r>
            <w:proofErr w:type="spellStart"/>
            <w:r>
              <w:rPr>
                <w:rFonts w:ascii="Arial" w:hAnsi="Arial"/>
                <w:color w:val="010000"/>
                <w:sz w:val="20"/>
              </w:rPr>
              <w:t>Khe</w:t>
            </w:r>
            <w:proofErr w:type="spellEnd"/>
            <w:r>
              <w:rPr>
                <w:rFonts w:ascii="Arial" w:hAnsi="Arial"/>
                <w:color w:val="010000"/>
                <w:sz w:val="20"/>
              </w:rPr>
              <w:t xml:space="preserve"> Town, Cam </w:t>
            </w:r>
            <w:proofErr w:type="spellStart"/>
            <w:r>
              <w:rPr>
                <w:rFonts w:ascii="Arial" w:hAnsi="Arial"/>
                <w:color w:val="010000"/>
                <w:sz w:val="20"/>
              </w:rPr>
              <w:t>Khe</w:t>
            </w:r>
            <w:proofErr w:type="spellEnd"/>
            <w:r>
              <w:rPr>
                <w:rFonts w:ascii="Arial" w:hAnsi="Arial"/>
                <w:color w:val="010000"/>
                <w:sz w:val="20"/>
              </w:rPr>
              <w:t xml:space="preserve"> District,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province</w:t>
            </w:r>
          </w:p>
        </w:tc>
        <w:tc>
          <w:tcPr>
            <w:tcW w:w="1865" w:type="dxa"/>
            <w:shd w:val="clear" w:color="auto" w:fill="auto"/>
            <w:tcMar>
              <w:top w:w="0" w:type="dxa"/>
              <w:bottom w:w="0" w:type="dxa"/>
            </w:tcMar>
            <w:vAlign w:val="center"/>
          </w:tcPr>
          <w:p w14:paraId="2ED8EC10" w14:textId="77777777" w:rsidR="00C472E6" w:rsidRDefault="00840707" w:rsidP="0045108F">
            <w:pPr>
              <w:pBdr>
                <w:top w:val="nil"/>
                <w:left w:val="nil"/>
                <w:bottom w:val="nil"/>
                <w:right w:val="nil"/>
                <w:between w:val="nil"/>
              </w:pBdr>
              <w:spacing w:after="120" w:line="360" w:lineRule="auto"/>
              <w:ind w:right="152"/>
              <w:jc w:val="both"/>
              <w:rPr>
                <w:rFonts w:ascii="Arial" w:eastAsia="Arial" w:hAnsi="Arial" w:cs="Arial"/>
                <w:color w:val="010000"/>
                <w:sz w:val="20"/>
                <w:szCs w:val="20"/>
              </w:rPr>
            </w:pPr>
            <w:r>
              <w:rPr>
                <w:rFonts w:ascii="Arial" w:hAnsi="Arial"/>
                <w:color w:val="010000"/>
                <w:sz w:val="20"/>
              </w:rPr>
              <w:t>22,475,992,896</w:t>
            </w:r>
          </w:p>
          <w:p w14:paraId="52E4EB04" w14:textId="77777777" w:rsidR="00C472E6" w:rsidRDefault="00C472E6" w:rsidP="0045108F">
            <w:pPr>
              <w:pBdr>
                <w:top w:val="nil"/>
                <w:left w:val="nil"/>
                <w:bottom w:val="nil"/>
                <w:right w:val="nil"/>
                <w:between w:val="nil"/>
              </w:pBdr>
              <w:spacing w:after="120" w:line="360" w:lineRule="auto"/>
              <w:ind w:right="152"/>
              <w:jc w:val="both"/>
              <w:rPr>
                <w:rFonts w:ascii="Arial" w:eastAsia="Arial" w:hAnsi="Arial" w:cs="Arial"/>
                <w:color w:val="010000"/>
                <w:sz w:val="20"/>
                <w:szCs w:val="20"/>
              </w:rPr>
            </w:pPr>
          </w:p>
        </w:tc>
        <w:tc>
          <w:tcPr>
            <w:tcW w:w="1805" w:type="dxa"/>
            <w:shd w:val="clear" w:color="auto" w:fill="auto"/>
            <w:tcMar>
              <w:top w:w="0" w:type="dxa"/>
              <w:bottom w:w="0" w:type="dxa"/>
            </w:tcMar>
            <w:vAlign w:val="center"/>
          </w:tcPr>
          <w:p w14:paraId="3318E40D"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51,025,584,336</w:t>
            </w:r>
          </w:p>
          <w:p w14:paraId="5CF19A44" w14:textId="77777777" w:rsidR="00C472E6" w:rsidRDefault="00C472E6"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p>
        </w:tc>
        <w:tc>
          <w:tcPr>
            <w:tcW w:w="1525" w:type="dxa"/>
            <w:shd w:val="clear" w:color="auto" w:fill="auto"/>
            <w:tcMar>
              <w:top w:w="0" w:type="dxa"/>
              <w:bottom w:w="0" w:type="dxa"/>
            </w:tcMar>
            <w:vAlign w:val="center"/>
          </w:tcPr>
          <w:p w14:paraId="3BB810D9"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73,501,577,232</w:t>
            </w:r>
          </w:p>
          <w:p w14:paraId="1F6B2F1F" w14:textId="77777777" w:rsidR="00C472E6" w:rsidRDefault="00C472E6"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p>
        </w:tc>
      </w:tr>
      <w:tr w:rsidR="00C472E6" w14:paraId="2C20FA6D" w14:textId="77777777">
        <w:tc>
          <w:tcPr>
            <w:tcW w:w="407" w:type="dxa"/>
            <w:shd w:val="clear" w:color="auto" w:fill="auto"/>
            <w:tcMar>
              <w:top w:w="0" w:type="dxa"/>
              <w:bottom w:w="0" w:type="dxa"/>
            </w:tcMar>
            <w:vAlign w:val="center"/>
          </w:tcPr>
          <w:p w14:paraId="666BA943" w14:textId="77777777" w:rsidR="00C472E6" w:rsidRDefault="00C472E6" w:rsidP="0045108F">
            <w:pPr>
              <w:spacing w:after="120" w:line="360" w:lineRule="auto"/>
              <w:jc w:val="both"/>
              <w:rPr>
                <w:rFonts w:ascii="Arial" w:eastAsia="Arial" w:hAnsi="Arial" w:cs="Arial"/>
                <w:color w:val="010000"/>
                <w:sz w:val="20"/>
                <w:szCs w:val="20"/>
              </w:rPr>
            </w:pPr>
          </w:p>
        </w:tc>
        <w:tc>
          <w:tcPr>
            <w:tcW w:w="3415" w:type="dxa"/>
            <w:shd w:val="clear" w:color="auto" w:fill="auto"/>
            <w:tcMar>
              <w:top w:w="0" w:type="dxa"/>
              <w:bottom w:w="0" w:type="dxa"/>
            </w:tcMar>
            <w:vAlign w:val="center"/>
          </w:tcPr>
          <w:p w14:paraId="4B496640" w14:textId="77777777" w:rsidR="00C472E6" w:rsidRDefault="00840707" w:rsidP="0045108F">
            <w:pPr>
              <w:numPr>
                <w:ilvl w:val="0"/>
                <w:numId w:val="2"/>
              </w:numPr>
              <w:pBdr>
                <w:top w:val="nil"/>
                <w:left w:val="nil"/>
                <w:bottom w:val="nil"/>
                <w:right w:val="nil"/>
                <w:between w:val="nil"/>
              </w:pBdr>
              <w:tabs>
                <w:tab w:val="left" w:pos="202"/>
              </w:tabs>
              <w:spacing w:after="120" w:line="360" w:lineRule="auto"/>
              <w:jc w:val="both"/>
              <w:rPr>
                <w:rFonts w:ascii="Arial" w:eastAsia="Arial" w:hAnsi="Arial" w:cs="Arial"/>
                <w:color w:val="010000"/>
                <w:sz w:val="20"/>
                <w:szCs w:val="20"/>
              </w:rPr>
            </w:pPr>
            <w:r>
              <w:rPr>
                <w:rFonts w:ascii="Arial" w:hAnsi="Arial"/>
                <w:color w:val="010000"/>
                <w:sz w:val="20"/>
              </w:rPr>
              <w:t xml:space="preserve">Construction contract for the construction of the Northern Truong </w:t>
            </w:r>
            <w:proofErr w:type="spellStart"/>
            <w:r>
              <w:rPr>
                <w:rFonts w:ascii="Arial" w:hAnsi="Arial"/>
                <w:color w:val="010000"/>
                <w:sz w:val="20"/>
              </w:rPr>
              <w:t>Vinh</w:t>
            </w:r>
            <w:proofErr w:type="spellEnd"/>
            <w:r>
              <w:rPr>
                <w:rFonts w:ascii="Arial" w:hAnsi="Arial"/>
                <w:color w:val="010000"/>
                <w:sz w:val="20"/>
              </w:rPr>
              <w:t xml:space="preserve"> tunnel project; bidding package XL01, construction investment for the section of </w:t>
            </w:r>
            <w:proofErr w:type="spellStart"/>
            <w:r>
              <w:rPr>
                <w:rFonts w:ascii="Arial" w:hAnsi="Arial"/>
                <w:color w:val="010000"/>
                <w:sz w:val="20"/>
              </w:rPr>
              <w:t>Nghi</w:t>
            </w:r>
            <w:proofErr w:type="spellEnd"/>
            <w:r>
              <w:rPr>
                <w:rFonts w:ascii="Arial" w:hAnsi="Arial"/>
                <w:color w:val="010000"/>
                <w:sz w:val="20"/>
              </w:rPr>
              <w:t xml:space="preserve"> Son - </w:t>
            </w:r>
            <w:proofErr w:type="spellStart"/>
            <w:r>
              <w:rPr>
                <w:rFonts w:ascii="Arial" w:hAnsi="Arial"/>
                <w:color w:val="010000"/>
                <w:sz w:val="20"/>
              </w:rPr>
              <w:t>Dien</w:t>
            </w:r>
            <w:proofErr w:type="spellEnd"/>
            <w:r>
              <w:rPr>
                <w:rFonts w:ascii="Arial" w:hAnsi="Arial"/>
                <w:color w:val="010000"/>
                <w:sz w:val="20"/>
              </w:rPr>
              <w:t xml:space="preserve"> Chau </w:t>
            </w:r>
          </w:p>
        </w:tc>
        <w:tc>
          <w:tcPr>
            <w:tcW w:w="1865" w:type="dxa"/>
            <w:shd w:val="clear" w:color="auto" w:fill="auto"/>
            <w:tcMar>
              <w:top w:w="0" w:type="dxa"/>
              <w:bottom w:w="0" w:type="dxa"/>
            </w:tcMar>
            <w:vAlign w:val="center"/>
          </w:tcPr>
          <w:p w14:paraId="59E48934"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0</w:t>
            </w:r>
          </w:p>
        </w:tc>
        <w:tc>
          <w:tcPr>
            <w:tcW w:w="1805" w:type="dxa"/>
            <w:shd w:val="clear" w:color="auto" w:fill="auto"/>
            <w:tcMar>
              <w:top w:w="0" w:type="dxa"/>
              <w:bottom w:w="0" w:type="dxa"/>
            </w:tcMar>
            <w:vAlign w:val="center"/>
          </w:tcPr>
          <w:p w14:paraId="2F707592"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0</w:t>
            </w:r>
          </w:p>
        </w:tc>
        <w:tc>
          <w:tcPr>
            <w:tcW w:w="1525" w:type="dxa"/>
            <w:shd w:val="clear" w:color="auto" w:fill="auto"/>
            <w:tcMar>
              <w:top w:w="0" w:type="dxa"/>
              <w:bottom w:w="0" w:type="dxa"/>
            </w:tcMar>
            <w:vAlign w:val="center"/>
          </w:tcPr>
          <w:p w14:paraId="085B282D"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0</w:t>
            </w:r>
          </w:p>
        </w:tc>
      </w:tr>
      <w:tr w:rsidR="00C472E6" w14:paraId="0D4BDF17" w14:textId="77777777">
        <w:tc>
          <w:tcPr>
            <w:tcW w:w="407" w:type="dxa"/>
            <w:shd w:val="clear" w:color="auto" w:fill="auto"/>
            <w:tcMar>
              <w:top w:w="0" w:type="dxa"/>
              <w:bottom w:w="0" w:type="dxa"/>
            </w:tcMar>
            <w:vAlign w:val="center"/>
          </w:tcPr>
          <w:p w14:paraId="0833E44B"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3415" w:type="dxa"/>
            <w:shd w:val="clear" w:color="auto" w:fill="auto"/>
            <w:tcMar>
              <w:top w:w="0" w:type="dxa"/>
              <w:bottom w:w="0" w:type="dxa"/>
            </w:tcMar>
            <w:vAlign w:val="center"/>
          </w:tcPr>
          <w:p w14:paraId="49C9C9AB"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money used for purchasing machinery and construction equipment for construction contracts</w:t>
            </w:r>
          </w:p>
        </w:tc>
        <w:tc>
          <w:tcPr>
            <w:tcW w:w="1865" w:type="dxa"/>
            <w:shd w:val="clear" w:color="auto" w:fill="auto"/>
            <w:tcMar>
              <w:top w:w="0" w:type="dxa"/>
              <w:bottom w:w="0" w:type="dxa"/>
            </w:tcMar>
            <w:vAlign w:val="center"/>
          </w:tcPr>
          <w:p w14:paraId="5D4A7658"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0</w:t>
            </w:r>
          </w:p>
        </w:tc>
        <w:tc>
          <w:tcPr>
            <w:tcW w:w="1805" w:type="dxa"/>
            <w:shd w:val="clear" w:color="auto" w:fill="auto"/>
            <w:tcMar>
              <w:top w:w="0" w:type="dxa"/>
              <w:bottom w:w="0" w:type="dxa"/>
            </w:tcMar>
            <w:vAlign w:val="center"/>
          </w:tcPr>
          <w:p w14:paraId="0CAAE3EA"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0</w:t>
            </w:r>
          </w:p>
        </w:tc>
        <w:tc>
          <w:tcPr>
            <w:tcW w:w="1525" w:type="dxa"/>
            <w:shd w:val="clear" w:color="auto" w:fill="auto"/>
            <w:tcMar>
              <w:top w:w="0" w:type="dxa"/>
              <w:bottom w:w="0" w:type="dxa"/>
            </w:tcMar>
            <w:vAlign w:val="center"/>
          </w:tcPr>
          <w:p w14:paraId="12F64899"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0</w:t>
            </w:r>
          </w:p>
        </w:tc>
      </w:tr>
      <w:tr w:rsidR="00C472E6" w14:paraId="4E359F20" w14:textId="77777777">
        <w:tc>
          <w:tcPr>
            <w:tcW w:w="407" w:type="dxa"/>
            <w:shd w:val="clear" w:color="auto" w:fill="auto"/>
            <w:tcMar>
              <w:top w:w="0" w:type="dxa"/>
              <w:bottom w:w="0" w:type="dxa"/>
            </w:tcMar>
            <w:vAlign w:val="center"/>
          </w:tcPr>
          <w:p w14:paraId="32BA301A"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3415" w:type="dxa"/>
            <w:shd w:val="clear" w:color="auto" w:fill="auto"/>
            <w:tcMar>
              <w:top w:w="0" w:type="dxa"/>
              <w:bottom w:w="0" w:type="dxa"/>
            </w:tcMar>
            <w:vAlign w:val="center"/>
          </w:tcPr>
          <w:p w14:paraId="2BD41882"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amount used is: (=2+3+4)</w:t>
            </w:r>
          </w:p>
        </w:tc>
        <w:tc>
          <w:tcPr>
            <w:tcW w:w="1865" w:type="dxa"/>
            <w:shd w:val="clear" w:color="auto" w:fill="auto"/>
            <w:tcMar>
              <w:top w:w="0" w:type="dxa"/>
              <w:bottom w:w="0" w:type="dxa"/>
            </w:tcMar>
            <w:vAlign w:val="center"/>
          </w:tcPr>
          <w:p w14:paraId="02BCFC83"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27,705,449,081</w:t>
            </w:r>
          </w:p>
        </w:tc>
        <w:tc>
          <w:tcPr>
            <w:tcW w:w="1805" w:type="dxa"/>
            <w:shd w:val="clear" w:color="auto" w:fill="auto"/>
            <w:tcMar>
              <w:top w:w="0" w:type="dxa"/>
              <w:bottom w:w="0" w:type="dxa"/>
            </w:tcMar>
            <w:vAlign w:val="center"/>
          </w:tcPr>
          <w:p w14:paraId="272FD36E"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54,567,150,919</w:t>
            </w:r>
          </w:p>
        </w:tc>
        <w:tc>
          <w:tcPr>
            <w:tcW w:w="1525" w:type="dxa"/>
            <w:shd w:val="clear" w:color="auto" w:fill="auto"/>
            <w:tcMar>
              <w:top w:w="0" w:type="dxa"/>
              <w:bottom w:w="0" w:type="dxa"/>
            </w:tcMar>
            <w:vAlign w:val="center"/>
          </w:tcPr>
          <w:p w14:paraId="70CEF262"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82,525,000,000.</w:t>
            </w:r>
          </w:p>
        </w:tc>
      </w:tr>
      <w:tr w:rsidR="00C472E6" w14:paraId="26389E4A" w14:textId="77777777">
        <w:tc>
          <w:tcPr>
            <w:tcW w:w="407" w:type="dxa"/>
            <w:shd w:val="clear" w:color="auto" w:fill="auto"/>
            <w:tcMar>
              <w:top w:w="0" w:type="dxa"/>
              <w:bottom w:w="0" w:type="dxa"/>
            </w:tcMar>
            <w:vAlign w:val="center"/>
          </w:tcPr>
          <w:p w14:paraId="7A265C79"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3415" w:type="dxa"/>
            <w:shd w:val="clear" w:color="auto" w:fill="auto"/>
            <w:tcMar>
              <w:top w:w="0" w:type="dxa"/>
              <w:bottom w:w="0" w:type="dxa"/>
            </w:tcMar>
            <w:vAlign w:val="center"/>
          </w:tcPr>
          <w:p w14:paraId="2CB68399" w14:textId="77777777" w:rsidR="00C472E6" w:rsidRDefault="00840707" w:rsidP="004510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remaining proceed obtained from the private placement transferred to the next period is:</w:t>
            </w:r>
          </w:p>
        </w:tc>
        <w:tc>
          <w:tcPr>
            <w:tcW w:w="1865" w:type="dxa"/>
            <w:shd w:val="clear" w:color="auto" w:fill="auto"/>
            <w:tcMar>
              <w:top w:w="0" w:type="dxa"/>
              <w:bottom w:w="0" w:type="dxa"/>
            </w:tcMar>
            <w:vAlign w:val="center"/>
          </w:tcPr>
          <w:p w14:paraId="70E33EF3"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54,567,150,919</w:t>
            </w:r>
          </w:p>
        </w:tc>
        <w:tc>
          <w:tcPr>
            <w:tcW w:w="1805" w:type="dxa"/>
            <w:shd w:val="clear" w:color="auto" w:fill="auto"/>
            <w:tcMar>
              <w:top w:w="0" w:type="dxa"/>
              <w:bottom w:w="0" w:type="dxa"/>
            </w:tcMar>
            <w:vAlign w:val="center"/>
          </w:tcPr>
          <w:p w14:paraId="58F2DD39"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0</w:t>
            </w:r>
          </w:p>
        </w:tc>
        <w:tc>
          <w:tcPr>
            <w:tcW w:w="1525" w:type="dxa"/>
            <w:shd w:val="clear" w:color="auto" w:fill="auto"/>
            <w:tcMar>
              <w:top w:w="0" w:type="dxa"/>
              <w:bottom w:w="0" w:type="dxa"/>
            </w:tcMar>
            <w:vAlign w:val="center"/>
          </w:tcPr>
          <w:p w14:paraId="781DB1BD" w14:textId="77777777" w:rsidR="00C472E6" w:rsidRDefault="00840707" w:rsidP="0045108F">
            <w:pPr>
              <w:pBdr>
                <w:top w:val="nil"/>
                <w:left w:val="nil"/>
                <w:bottom w:val="nil"/>
                <w:right w:val="nil"/>
                <w:between w:val="nil"/>
              </w:pBdr>
              <w:spacing w:after="120" w:line="360" w:lineRule="auto"/>
              <w:ind w:right="59"/>
              <w:jc w:val="both"/>
              <w:rPr>
                <w:rFonts w:ascii="Arial" w:eastAsia="Arial" w:hAnsi="Arial" w:cs="Arial"/>
                <w:color w:val="010000"/>
                <w:sz w:val="20"/>
                <w:szCs w:val="20"/>
              </w:rPr>
            </w:pPr>
            <w:r>
              <w:rPr>
                <w:rFonts w:ascii="Arial" w:hAnsi="Arial"/>
                <w:color w:val="010000"/>
                <w:sz w:val="20"/>
              </w:rPr>
              <w:t>0</w:t>
            </w:r>
          </w:p>
        </w:tc>
      </w:tr>
    </w:tbl>
    <w:p w14:paraId="31724A6F" w14:textId="77777777" w:rsidR="00C472E6" w:rsidRDefault="00840707" w:rsidP="0045108F">
      <w:pPr>
        <w:pBdr>
          <w:top w:val="nil"/>
          <w:left w:val="nil"/>
          <w:bottom w:val="nil"/>
          <w:right w:val="nil"/>
          <w:between w:val="nil"/>
        </w:pBdr>
        <w:tabs>
          <w:tab w:val="left" w:pos="6322"/>
        </w:tabs>
        <w:spacing w:after="120" w:line="360" w:lineRule="auto"/>
        <w:jc w:val="both"/>
        <w:rPr>
          <w:rFonts w:ascii="Arial" w:eastAsia="Arial" w:hAnsi="Arial" w:cs="Arial"/>
          <w:color w:val="010000"/>
          <w:sz w:val="20"/>
          <w:szCs w:val="20"/>
        </w:rPr>
        <w:sectPr w:rsidR="00C472E6">
          <w:pgSz w:w="11907" w:h="16839"/>
          <w:pgMar w:top="1440" w:right="1440" w:bottom="1440" w:left="1440" w:header="0" w:footer="3" w:gutter="0"/>
          <w:pgNumType w:start="1"/>
          <w:cols w:space="720"/>
        </w:sectPr>
      </w:pPr>
      <w:bookmarkStart w:id="1" w:name="_heading=h.gjdgxs"/>
      <w:bookmarkEnd w:id="1"/>
      <w:r>
        <w:rPr>
          <w:rFonts w:ascii="Arial" w:hAnsi="Arial"/>
          <w:color w:val="010000"/>
          <w:sz w:val="20"/>
        </w:rPr>
        <w:t xml:space="preserve">‎‎Article 8. This General Mandate has been fully approved at the Annual General Meeting of Shareholders 2024 of CMH Vietnam Group JSC This General Mandate takes effects from the date of its signing, the Board of Directors, the Board of Management, and relevant Departments pursuant to this General Mandate to implement. </w:t>
      </w:r>
    </w:p>
    <w:p w14:paraId="089E4272" w14:textId="77777777" w:rsidR="00C472E6" w:rsidRDefault="00C472E6" w:rsidP="0045108F">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C472E6">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83C"/>
    <w:multiLevelType w:val="multilevel"/>
    <w:tmpl w:val="4E6A9558"/>
    <w:lvl w:ilvl="0">
      <w:start w:val="1"/>
      <w:numFmt w:val="bullet"/>
      <w:lvlText w:val="-"/>
      <w:lvlJc w:val="left"/>
      <w:pPr>
        <w:ind w:left="0" w:firstLine="0"/>
      </w:pPr>
      <w:rPr>
        <w:rFonts w:ascii="Arial" w:eastAsia="Arial" w:hAnsi="Arial" w:cs="Arial"/>
        <w:b w:val="0"/>
        <w:i w:val="0"/>
        <w:smallCaps w:val="0"/>
        <w:strike w:val="0"/>
        <w:color w:val="4E4D5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D4D5410"/>
    <w:multiLevelType w:val="multilevel"/>
    <w:tmpl w:val="7090AE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4066E90"/>
    <w:multiLevelType w:val="multilevel"/>
    <w:tmpl w:val="990E4758"/>
    <w:lvl w:ilvl="0">
      <w:start w:val="1"/>
      <w:numFmt w:val="decimal"/>
      <w:lvlText w:val="1.%1."/>
      <w:lvlJc w:val="left"/>
      <w:pPr>
        <w:ind w:left="0" w:firstLine="0"/>
      </w:pPr>
      <w:rPr>
        <w:rFonts w:ascii="Arial" w:eastAsia="Arial" w:hAnsi="Arial" w:cs="Arial"/>
        <w:b w:val="0"/>
        <w:i w:val="0"/>
        <w:smallCaps w:val="0"/>
        <w:strike w:val="0"/>
        <w:color w:val="4E4D5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4052FE5"/>
    <w:multiLevelType w:val="multilevel"/>
    <w:tmpl w:val="64069F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5AD42ED"/>
    <w:multiLevelType w:val="multilevel"/>
    <w:tmpl w:val="67245D88"/>
    <w:lvl w:ilvl="0">
      <w:start w:val="1"/>
      <w:numFmt w:val="lowerRoman"/>
      <w:lvlText w:val="(%1)"/>
      <w:lvlJc w:val="left"/>
      <w:pPr>
        <w:ind w:left="0" w:firstLine="0"/>
      </w:pPr>
      <w:rPr>
        <w:rFonts w:ascii="Arial" w:eastAsia="Arial" w:hAnsi="Arial" w:cs="Arial"/>
        <w:b w:val="0"/>
        <w:i w:val="0"/>
        <w:smallCaps w:val="0"/>
        <w:strike w:val="0"/>
        <w:color w:val="2D2A3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E6"/>
    <w:rsid w:val="002A3F2B"/>
    <w:rsid w:val="0045108F"/>
    <w:rsid w:val="00840707"/>
    <w:rsid w:val="00C472E6"/>
    <w:rsid w:val="00CB6042"/>
    <w:rsid w:val="00DE04E0"/>
    <w:rsid w:val="00E24B42"/>
    <w:rsid w:val="00FB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724E"/>
  <w15:docId w15:val="{88712223-CB43-47D4-B9A4-5ED0535B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D2A36"/>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2D2A36"/>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2D2A36"/>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D2A36"/>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2D2A36"/>
      <w:sz w:val="18"/>
      <w:szCs w:val="1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BC798F"/>
      <w:sz w:val="24"/>
      <w:szCs w:val="2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C798F"/>
      <w:sz w:val="24"/>
      <w:szCs w:val="24"/>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BC798F"/>
      <w:sz w:val="26"/>
      <w:szCs w:val="26"/>
      <w:u w:val="none"/>
      <w:shd w:val="clear" w:color="auto" w:fill="auto"/>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color w:val="2D2A36"/>
      <w:sz w:val="22"/>
      <w:szCs w:val="22"/>
    </w:rPr>
  </w:style>
  <w:style w:type="paragraph" w:customStyle="1" w:styleId="Tiu20">
    <w:name w:val="Tiêu đề #2"/>
    <w:basedOn w:val="Normal"/>
    <w:link w:val="Tiu2"/>
    <w:pPr>
      <w:spacing w:line="269" w:lineRule="auto"/>
      <w:outlineLvl w:val="1"/>
    </w:pPr>
    <w:rPr>
      <w:rFonts w:ascii="Times New Roman" w:eastAsia="Times New Roman" w:hAnsi="Times New Roman" w:cs="Times New Roman"/>
      <w:b/>
      <w:bCs/>
      <w:color w:val="2D2A36"/>
      <w:sz w:val="22"/>
      <w:szCs w:val="22"/>
    </w:rPr>
  </w:style>
  <w:style w:type="paragraph" w:customStyle="1" w:styleId="Chthchbng0">
    <w:name w:val="Chú thích bảng"/>
    <w:basedOn w:val="Normal"/>
    <w:link w:val="Chthchbng"/>
    <w:rPr>
      <w:rFonts w:ascii="Times New Roman" w:eastAsia="Times New Roman" w:hAnsi="Times New Roman" w:cs="Times New Roman"/>
      <w:color w:val="2D2A36"/>
      <w:sz w:val="22"/>
      <w:szCs w:val="22"/>
    </w:rPr>
  </w:style>
  <w:style w:type="paragraph" w:customStyle="1" w:styleId="Khc0">
    <w:name w:val="Khác"/>
    <w:basedOn w:val="Normal"/>
    <w:link w:val="Khc"/>
    <w:pPr>
      <w:spacing w:line="300" w:lineRule="auto"/>
    </w:pPr>
    <w:rPr>
      <w:rFonts w:ascii="Times New Roman" w:eastAsia="Times New Roman" w:hAnsi="Times New Roman" w:cs="Times New Roman"/>
      <w:color w:val="2D2A36"/>
      <w:sz w:val="22"/>
      <w:szCs w:val="22"/>
    </w:rPr>
  </w:style>
  <w:style w:type="paragraph" w:customStyle="1" w:styleId="Vnbnnidung20">
    <w:name w:val="Văn bản nội dung (2)"/>
    <w:basedOn w:val="Normal"/>
    <w:link w:val="Vnbnnidung2"/>
    <w:pPr>
      <w:spacing w:line="360" w:lineRule="auto"/>
    </w:pPr>
    <w:rPr>
      <w:rFonts w:ascii="Times New Roman" w:eastAsia="Times New Roman" w:hAnsi="Times New Roman" w:cs="Times New Roman"/>
      <w:color w:val="2D2A36"/>
      <w:sz w:val="18"/>
      <w:szCs w:val="18"/>
    </w:rPr>
  </w:style>
  <w:style w:type="paragraph" w:customStyle="1" w:styleId="Tiu10">
    <w:name w:val="Tiêu đề #1"/>
    <w:basedOn w:val="Normal"/>
    <w:link w:val="Tiu1"/>
    <w:pPr>
      <w:jc w:val="right"/>
      <w:outlineLvl w:val="0"/>
    </w:pPr>
    <w:rPr>
      <w:rFonts w:ascii="Arial" w:eastAsia="Arial" w:hAnsi="Arial" w:cs="Arial"/>
      <w:color w:val="BC798F"/>
    </w:rPr>
  </w:style>
  <w:style w:type="paragraph" w:customStyle="1" w:styleId="Vnbnnidung30">
    <w:name w:val="Văn bản nội dung (3)"/>
    <w:basedOn w:val="Normal"/>
    <w:link w:val="Vnbnnidung3"/>
    <w:pPr>
      <w:spacing w:line="197" w:lineRule="auto"/>
      <w:jc w:val="right"/>
    </w:pPr>
    <w:rPr>
      <w:rFonts w:ascii="Arial" w:eastAsia="Arial" w:hAnsi="Arial" w:cs="Arial"/>
      <w:color w:val="BC798F"/>
    </w:rPr>
  </w:style>
  <w:style w:type="paragraph" w:customStyle="1" w:styleId="Vnbnnidung40">
    <w:name w:val="Văn bản nội dung (4)"/>
    <w:basedOn w:val="Normal"/>
    <w:link w:val="Vnbnnidung4"/>
    <w:rPr>
      <w:rFonts w:ascii="Times New Roman" w:eastAsia="Times New Roman" w:hAnsi="Times New Roman" w:cs="Times New Roman"/>
      <w:color w:val="BC798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m6p7bOvwUxEDNMBnVL3JhJnq4A==">CgMxLjAyCGguZ2pkZ3hzOAByITFoZ1BzZmdrZEhVY1VkVzZ3azZmS0dVQXBWRS15Vk85cA==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2024-05-07T03:52:00Z</dcterms:created>
  <dcterms:modified xsi:type="dcterms:W3CDTF">2024-05-08T04:19:00Z</dcterms:modified>
</cp:coreProperties>
</file>