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658F3" w14:textId="77777777" w:rsidR="00DB4866" w:rsidRPr="001306DE" w:rsidRDefault="001D06DF" w:rsidP="001D06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306DE">
        <w:rPr>
          <w:rFonts w:ascii="Arial" w:hAnsi="Arial"/>
          <w:b/>
          <w:color w:val="010000"/>
          <w:sz w:val="20"/>
        </w:rPr>
        <w:t>DFC: Annual General Mandate 2024</w:t>
      </w:r>
    </w:p>
    <w:p w14:paraId="5E6F3380" w14:textId="740A73FA" w:rsidR="00DB4866" w:rsidRPr="001306DE" w:rsidRDefault="001D06DF" w:rsidP="001D06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 xml:space="preserve">On April 23, 2024, DONG ANH C&amp;F JOINT STOCK COMPANY announced </w:t>
      </w:r>
      <w:r w:rsidR="00386E5C" w:rsidRPr="001306DE">
        <w:rPr>
          <w:rFonts w:ascii="Arial" w:hAnsi="Arial"/>
          <w:color w:val="010000"/>
          <w:sz w:val="20"/>
        </w:rPr>
        <w:t xml:space="preserve">General </w:t>
      </w:r>
      <w:r w:rsidRPr="001306DE">
        <w:rPr>
          <w:rFonts w:ascii="Arial" w:hAnsi="Arial"/>
          <w:color w:val="010000"/>
          <w:sz w:val="20"/>
        </w:rPr>
        <w:t xml:space="preserve">Mandate No. 01/2024/NQ-DHDCD as follows:   </w:t>
      </w:r>
    </w:p>
    <w:p w14:paraId="6B178B71" w14:textId="77777777" w:rsidR="00DB4866" w:rsidRPr="001306DE" w:rsidRDefault="001D06DF" w:rsidP="001D06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Article 1: The Annual General Meeting of Shareholders 2024 approves the following contents:</w:t>
      </w:r>
    </w:p>
    <w:p w14:paraId="014D5502" w14:textId="77777777" w:rsidR="00DB4866" w:rsidRPr="001306DE" w:rsidRDefault="001D06DF" w:rsidP="001D06D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50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 xml:space="preserve"> Approve the Report on activities results of the Dong Anh C&amp;F Joint Stock Company’s Board of Directors presented at the General Meeting of shareholders with the main production and business targets 2024 as follows:</w:t>
      </w:r>
    </w:p>
    <w:p w14:paraId="0EC2D105" w14:textId="77777777" w:rsidR="00DB4866" w:rsidRPr="001306DE" w:rsidRDefault="001D06DF" w:rsidP="001D06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68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The expected total revenue plan of the whole Company: VND 1,130 billion;</w:t>
      </w:r>
    </w:p>
    <w:p w14:paraId="62D9757F" w14:textId="77777777" w:rsidR="00DB4866" w:rsidRPr="001306DE" w:rsidRDefault="001D06DF" w:rsidP="001D06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7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The expected profit after tax plan of the whole Company: VND 29.4 billion;</w:t>
      </w:r>
    </w:p>
    <w:p w14:paraId="4B7D75D2" w14:textId="77777777" w:rsidR="00DB4866" w:rsidRPr="001306DE" w:rsidRDefault="001D06DF" w:rsidP="001D06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089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 xml:space="preserve">Approve the Supervisory Board’s Report on the production and business activities results 2023, targets, duties 2024. </w:t>
      </w:r>
    </w:p>
    <w:p w14:paraId="271DD202" w14:textId="77777777" w:rsidR="00DB4866" w:rsidRPr="001306DE" w:rsidRDefault="001D06DF" w:rsidP="001D06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 xml:space="preserve"> Production and business targets: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4"/>
        <w:gridCol w:w="2251"/>
        <w:gridCol w:w="1652"/>
        <w:gridCol w:w="1542"/>
        <w:gridCol w:w="1683"/>
        <w:gridCol w:w="1535"/>
      </w:tblGrid>
      <w:tr w:rsidR="00DB4866" w:rsidRPr="001306DE" w14:paraId="371E8C44" w14:textId="77777777" w:rsidTr="001306DE">
        <w:tc>
          <w:tcPr>
            <w:tcW w:w="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E4C9A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D7A6D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E7034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3551B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Results in 2023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4BAF6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Comparison with the plan 2023 (%)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53426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Comparison with 2022 (%)</w:t>
            </w:r>
          </w:p>
        </w:tc>
      </w:tr>
      <w:tr w:rsidR="00DB4866" w:rsidRPr="001306DE" w14:paraId="7FDC09B8" w14:textId="77777777" w:rsidTr="001306DE">
        <w:tc>
          <w:tcPr>
            <w:tcW w:w="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7ED4A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6E888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3692B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68691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1,202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52A64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85%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7FD45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84%</w:t>
            </w:r>
          </w:p>
        </w:tc>
      </w:tr>
      <w:tr w:rsidR="00DB4866" w:rsidRPr="001306DE" w14:paraId="1A8F83DD" w14:textId="77777777" w:rsidTr="001306DE">
        <w:tc>
          <w:tcPr>
            <w:tcW w:w="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DC6E3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3D3CD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Profit before tax: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11113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8E92F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39.2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67D66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112%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59D48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113%</w:t>
            </w:r>
          </w:p>
        </w:tc>
      </w:tr>
      <w:tr w:rsidR="00DB4866" w:rsidRPr="001306DE" w14:paraId="3C011869" w14:textId="77777777" w:rsidTr="001306DE">
        <w:tc>
          <w:tcPr>
            <w:tcW w:w="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26B50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B8E1D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7D544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D464D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31.3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EE572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112%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5086E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113%</w:t>
            </w:r>
          </w:p>
        </w:tc>
      </w:tr>
      <w:tr w:rsidR="00DB4866" w:rsidRPr="001306DE" w14:paraId="140E7199" w14:textId="77777777" w:rsidTr="001306DE">
        <w:tc>
          <w:tcPr>
            <w:tcW w:w="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253AE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10465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Payable to state budget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2436D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170F0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35.2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64D7A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130%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71432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125%</w:t>
            </w:r>
          </w:p>
        </w:tc>
      </w:tr>
      <w:tr w:rsidR="00DB4866" w:rsidRPr="001306DE" w14:paraId="2AFE004F" w14:textId="77777777" w:rsidTr="001306DE">
        <w:tc>
          <w:tcPr>
            <w:tcW w:w="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8AD3D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AA88A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 xml:space="preserve">Average income </w:t>
            </w:r>
            <w:r w:rsidRPr="001306DE">
              <w:rPr>
                <w:rFonts w:ascii="Arial" w:hAnsi="Arial"/>
                <w:color w:val="010000"/>
                <w:sz w:val="20"/>
              </w:rPr>
              <w:br/>
              <w:t>Person/month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0BCDA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9E7D0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EF0B3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4F093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100%</w:t>
            </w:r>
          </w:p>
        </w:tc>
      </w:tr>
    </w:tbl>
    <w:p w14:paraId="6D5EA66C" w14:textId="77777777" w:rsidR="00DB4866" w:rsidRPr="001306DE" w:rsidRDefault="001D06DF" w:rsidP="001D06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089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Plan 2024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8"/>
        <w:gridCol w:w="3158"/>
        <w:gridCol w:w="1439"/>
        <w:gridCol w:w="1351"/>
        <w:gridCol w:w="2361"/>
      </w:tblGrid>
      <w:tr w:rsidR="00DB4866" w:rsidRPr="001306DE" w14:paraId="17E3E83E" w14:textId="77777777" w:rsidTr="001306DE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36143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7340F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512CB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ECC70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Plan 2024</w:t>
            </w:r>
          </w:p>
        </w:tc>
        <w:tc>
          <w:tcPr>
            <w:tcW w:w="1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5C49A" w14:textId="0ACC8E86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Plan in 2024/</w:t>
            </w:r>
            <w:r w:rsidR="008915A7" w:rsidRPr="001306DE">
              <w:rPr>
                <w:rFonts w:ascii="Arial" w:hAnsi="Arial"/>
                <w:color w:val="010000"/>
                <w:sz w:val="20"/>
              </w:rPr>
              <w:t>Results</w:t>
            </w:r>
            <w:r w:rsidRPr="001306DE">
              <w:rPr>
                <w:rFonts w:ascii="Arial" w:hAnsi="Arial"/>
                <w:color w:val="010000"/>
                <w:sz w:val="20"/>
              </w:rPr>
              <w:t xml:space="preserve"> 2023 (%)</w:t>
            </w:r>
          </w:p>
        </w:tc>
      </w:tr>
      <w:tr w:rsidR="00DB4866" w:rsidRPr="001306DE" w14:paraId="57BA2E66" w14:textId="77777777" w:rsidTr="001306DE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15104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DCCA9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150CD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5A767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1,130</w:t>
            </w:r>
          </w:p>
        </w:tc>
        <w:tc>
          <w:tcPr>
            <w:tcW w:w="1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41FF1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94%</w:t>
            </w:r>
          </w:p>
        </w:tc>
      </w:tr>
      <w:tr w:rsidR="00DB4866" w:rsidRPr="001306DE" w14:paraId="256FE34D" w14:textId="77777777" w:rsidTr="001306DE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2F4B2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20AE2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85F1C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59B4C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29.4</w:t>
            </w:r>
          </w:p>
        </w:tc>
        <w:tc>
          <w:tcPr>
            <w:tcW w:w="1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3A28E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94%</w:t>
            </w:r>
          </w:p>
        </w:tc>
      </w:tr>
      <w:tr w:rsidR="00DB4866" w:rsidRPr="001306DE" w14:paraId="7B927427" w14:textId="77777777" w:rsidTr="001306DE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FBFE9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23DA9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Payable to state budget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46B70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A88DF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32</w:t>
            </w:r>
          </w:p>
        </w:tc>
        <w:tc>
          <w:tcPr>
            <w:tcW w:w="1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19D0A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96%</w:t>
            </w:r>
          </w:p>
        </w:tc>
      </w:tr>
      <w:tr w:rsidR="00DB4866" w:rsidRPr="001306DE" w14:paraId="22F07CE8" w14:textId="77777777" w:rsidTr="001306DE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EEF1C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7D139" w14:textId="263D76A4" w:rsidR="00DB4866" w:rsidRPr="001306DE" w:rsidRDefault="001306DE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 xml:space="preserve">Average income </w:t>
            </w:r>
            <w:r w:rsidR="001D06DF" w:rsidRPr="001306DE">
              <w:rPr>
                <w:rFonts w:ascii="Arial" w:hAnsi="Arial"/>
                <w:color w:val="010000"/>
                <w:sz w:val="20"/>
              </w:rPr>
              <w:t>Person/month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25F8E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8C17F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4092B" w14:textId="77777777" w:rsidR="00DB4866" w:rsidRPr="001306DE" w:rsidRDefault="001D06DF" w:rsidP="001D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06DE">
              <w:rPr>
                <w:rFonts w:ascii="Arial" w:hAnsi="Arial"/>
                <w:color w:val="010000"/>
                <w:sz w:val="20"/>
              </w:rPr>
              <w:t>100%</w:t>
            </w:r>
          </w:p>
        </w:tc>
      </w:tr>
    </w:tbl>
    <w:p w14:paraId="7EF4924A" w14:textId="77777777" w:rsidR="00DB4866" w:rsidRPr="001306DE" w:rsidRDefault="001D06DF" w:rsidP="001D06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09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 xml:space="preserve">Approve the Supervisory Board’s Report on activities presented at the General Meeting of shareholders. </w:t>
      </w:r>
    </w:p>
    <w:p w14:paraId="079D2210" w14:textId="77777777" w:rsidR="00DB4866" w:rsidRPr="001306DE" w:rsidRDefault="001D06DF" w:rsidP="001D06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09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 xml:space="preserve">Approve The Audited Financial Statements established on March 28, 2024. </w:t>
      </w:r>
    </w:p>
    <w:p w14:paraId="323078FC" w14:textId="77777777" w:rsidR="00DB4866" w:rsidRPr="001306DE" w:rsidRDefault="001D06DF" w:rsidP="001D06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09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Approve the Proposal on selecting the audit company for the Financial Statements 2024; Vietnam Auditing and Evaluation Co., Ltd. (VAE)</w:t>
      </w:r>
    </w:p>
    <w:p w14:paraId="089E25BB" w14:textId="77777777" w:rsidR="00DB4866" w:rsidRPr="001306DE" w:rsidRDefault="001D06DF" w:rsidP="001D06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09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lastRenderedPageBreak/>
        <w:t>Approve the Proposal on the plan on profit distribution 2023, the dividend payment plan and appropriation for funds:</w:t>
      </w:r>
    </w:p>
    <w:p w14:paraId="361A23AB" w14:textId="241B7890" w:rsidR="00DB4866" w:rsidRPr="001306DE" w:rsidRDefault="001D06DF" w:rsidP="001D06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Investment and deve</w:t>
      </w:r>
      <w:r w:rsidR="001306DE" w:rsidRPr="001306DE">
        <w:rPr>
          <w:rFonts w:ascii="Arial" w:hAnsi="Arial"/>
          <w:color w:val="010000"/>
          <w:sz w:val="20"/>
        </w:rPr>
        <w:t>lopment fund. VND 4,706,135,291</w:t>
      </w:r>
    </w:p>
    <w:p w14:paraId="23D71B75" w14:textId="77777777" w:rsidR="00DB4866" w:rsidRPr="001306DE" w:rsidRDefault="001D06DF" w:rsidP="001D06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 xml:space="preserve">Bonus fund: VND 941,227,058 </w:t>
      </w:r>
    </w:p>
    <w:p w14:paraId="0E452429" w14:textId="6F65FB7B" w:rsidR="00DB4866" w:rsidRPr="001306DE" w:rsidRDefault="001306DE" w:rsidP="001D06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7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Welfare fund: VND 2,196,196,470</w:t>
      </w:r>
    </w:p>
    <w:p w14:paraId="0D88E568" w14:textId="77777777" w:rsidR="00DB4866" w:rsidRPr="001306DE" w:rsidRDefault="001D06DF" w:rsidP="001D06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68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The Executive Board’s fund: VND 941,227,058</w:t>
      </w:r>
    </w:p>
    <w:p w14:paraId="57D57636" w14:textId="5A53BFC5" w:rsidR="00DB4866" w:rsidRPr="001306DE" w:rsidRDefault="001D06DF" w:rsidP="001D06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97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 xml:space="preserve">The total values of dividend </w:t>
      </w:r>
      <w:r w:rsidR="001306DE" w:rsidRPr="001306DE">
        <w:rPr>
          <w:rFonts w:ascii="Arial" w:hAnsi="Arial"/>
          <w:color w:val="010000"/>
          <w:sz w:val="20"/>
        </w:rPr>
        <w:t xml:space="preserve">payment are: </w:t>
      </w:r>
      <w:r w:rsidRPr="001306DE">
        <w:rPr>
          <w:rFonts w:ascii="Arial" w:hAnsi="Arial"/>
          <w:color w:val="010000"/>
          <w:sz w:val="20"/>
        </w:rPr>
        <w:t>VND 22,800,000,000 (Twenty-two billion, eight hundred billion VND)</w:t>
      </w:r>
    </w:p>
    <w:p w14:paraId="3324CEA2" w14:textId="77777777" w:rsidR="00DB4866" w:rsidRPr="001306DE" w:rsidRDefault="001D06DF" w:rsidP="001D06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68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The dividend values/ one share VND 2,000 (the rate of 20%/1 share)</w:t>
      </w:r>
    </w:p>
    <w:p w14:paraId="2617EE9A" w14:textId="77777777" w:rsidR="00DB4866" w:rsidRPr="001306DE" w:rsidRDefault="001D06DF" w:rsidP="001D06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1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Payment form: In cash and transfer.</w:t>
      </w:r>
    </w:p>
    <w:p w14:paraId="7F2943F0" w14:textId="77777777" w:rsidR="00DB4866" w:rsidRPr="001306DE" w:rsidRDefault="001D06DF" w:rsidP="001D06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76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Payment time: In the period of 6 months since the end date of Annual General Meeting of Shareholders 2024 (Following to Clause 4, Article 132 of the Law on Enterprises)</w:t>
      </w:r>
    </w:p>
    <w:p w14:paraId="6D203EA7" w14:textId="6872C92A" w:rsidR="00DB4866" w:rsidRPr="001306DE" w:rsidRDefault="001D06DF" w:rsidP="001D06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318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Approve the Proposal on remuneration of the Board of Directors</w:t>
      </w:r>
      <w:r w:rsidR="001306DE" w:rsidRPr="001306DE">
        <w:rPr>
          <w:rFonts w:ascii="Arial" w:hAnsi="Arial"/>
          <w:color w:val="010000"/>
          <w:sz w:val="20"/>
        </w:rPr>
        <w:t xml:space="preserve"> and the Supervisory Board 2024:</w:t>
      </w:r>
    </w:p>
    <w:p w14:paraId="09107F3D" w14:textId="77777777" w:rsidR="00DB4866" w:rsidRPr="001306DE" w:rsidRDefault="001D06DF" w:rsidP="001D06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07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Remuneration of the Board of Directors</w:t>
      </w:r>
    </w:p>
    <w:p w14:paraId="58EDF04B" w14:textId="21606581" w:rsidR="00DB4866" w:rsidRPr="001306DE" w:rsidRDefault="001D06DF" w:rsidP="001D06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056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Remuneration of the Chai</w:t>
      </w:r>
      <w:r w:rsidR="001306DE" w:rsidRPr="001306DE">
        <w:rPr>
          <w:rFonts w:ascii="Arial" w:hAnsi="Arial"/>
          <w:color w:val="010000"/>
          <w:sz w:val="20"/>
        </w:rPr>
        <w:t>r of the Board of Directors is:</w:t>
      </w:r>
      <w:r w:rsidRPr="001306DE">
        <w:rPr>
          <w:rFonts w:ascii="Arial" w:hAnsi="Arial"/>
          <w:color w:val="010000"/>
          <w:sz w:val="20"/>
        </w:rPr>
        <w:t xml:space="preserve"> VND 8,000,000/month</w:t>
      </w:r>
    </w:p>
    <w:p w14:paraId="3B2862BC" w14:textId="481D44DC" w:rsidR="00DB4866" w:rsidRPr="001306DE" w:rsidRDefault="001D06DF" w:rsidP="001D06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05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Remuneration for the Board of Directors’ members: VND 5,000,000/person/month;</w:t>
      </w:r>
    </w:p>
    <w:p w14:paraId="176098F2" w14:textId="77777777" w:rsidR="00DB4866" w:rsidRPr="001306DE" w:rsidRDefault="001D06DF" w:rsidP="001D06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077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Remuneration of the Supervisory Board:</w:t>
      </w:r>
    </w:p>
    <w:p w14:paraId="6FD83CCD" w14:textId="00E248EE" w:rsidR="00DB4866" w:rsidRPr="001306DE" w:rsidRDefault="001D06DF" w:rsidP="001D06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048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Remuneration of the Chie</w:t>
      </w:r>
      <w:r w:rsidR="001306DE" w:rsidRPr="001306DE">
        <w:rPr>
          <w:rFonts w:ascii="Arial" w:hAnsi="Arial"/>
          <w:color w:val="010000"/>
          <w:sz w:val="20"/>
        </w:rPr>
        <w:t xml:space="preserve">f of the Supervisory Board is: </w:t>
      </w:r>
      <w:r w:rsidRPr="001306DE">
        <w:rPr>
          <w:rFonts w:ascii="Arial" w:hAnsi="Arial"/>
          <w:color w:val="010000"/>
          <w:sz w:val="20"/>
        </w:rPr>
        <w:t>VND 3,000,000/month</w:t>
      </w:r>
    </w:p>
    <w:p w14:paraId="55A169DA" w14:textId="70EC352E" w:rsidR="00DB4866" w:rsidRPr="001306DE" w:rsidRDefault="001D06DF" w:rsidP="001D06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05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Remu</w:t>
      </w:r>
      <w:r w:rsidR="001306DE" w:rsidRPr="001306DE">
        <w:rPr>
          <w:rFonts w:ascii="Arial" w:hAnsi="Arial"/>
          <w:color w:val="010000"/>
          <w:sz w:val="20"/>
        </w:rPr>
        <w:t xml:space="preserve">neration of the Supervisor is: </w:t>
      </w:r>
      <w:r w:rsidRPr="001306DE">
        <w:rPr>
          <w:rFonts w:ascii="Arial" w:hAnsi="Arial"/>
          <w:color w:val="010000"/>
          <w:sz w:val="20"/>
        </w:rPr>
        <w:t>VND 1,500,000/person/month;</w:t>
      </w:r>
    </w:p>
    <w:p w14:paraId="2C66A0E5" w14:textId="77777777" w:rsidR="00DB4866" w:rsidRPr="001306DE" w:rsidRDefault="001D06DF" w:rsidP="001D06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338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 xml:space="preserve">Approve on modifying the Company’s Charters as presented in the Proposal at the Meeting. </w:t>
      </w:r>
    </w:p>
    <w:p w14:paraId="78373CB7" w14:textId="77777777" w:rsidR="00DB4866" w:rsidRPr="001306DE" w:rsidRDefault="001D06DF" w:rsidP="001D06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34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 xml:space="preserve">Approve the Proposal on the transaction between the Company and the Related Persons. </w:t>
      </w:r>
    </w:p>
    <w:p w14:paraId="7A213C47" w14:textId="77777777" w:rsidR="00DB4866" w:rsidRPr="001306DE" w:rsidRDefault="001D06DF" w:rsidP="001D06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495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Approve the Proposal on electing the Board of Directors, the Supervisory Board’s members of the Company for the term 2024 - 2029.</w:t>
      </w:r>
    </w:p>
    <w:p w14:paraId="68125D1C" w14:textId="77777777" w:rsidR="00DB4866" w:rsidRPr="001306DE" w:rsidRDefault="001D06DF" w:rsidP="001D06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 xml:space="preserve">The elected list of the Board of Directors, the Supervisory Board’s Members for the term 2024 - 2029 as follows: </w:t>
      </w:r>
    </w:p>
    <w:p w14:paraId="238AFBFA" w14:textId="77777777" w:rsidR="00DB4866" w:rsidRPr="001306DE" w:rsidRDefault="001D06DF" w:rsidP="001D06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The Board of Directors</w:t>
      </w:r>
    </w:p>
    <w:p w14:paraId="25F16284" w14:textId="77777777" w:rsidR="00DB4866" w:rsidRPr="001306DE" w:rsidRDefault="001D06DF" w:rsidP="001D06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 xml:space="preserve">Mr. Phan Tan </w:t>
      </w:r>
      <w:proofErr w:type="spellStart"/>
      <w:r w:rsidRPr="001306DE">
        <w:rPr>
          <w:rFonts w:ascii="Arial" w:hAnsi="Arial"/>
          <w:color w:val="010000"/>
          <w:sz w:val="20"/>
        </w:rPr>
        <w:t>Binh</w:t>
      </w:r>
      <w:proofErr w:type="spellEnd"/>
    </w:p>
    <w:p w14:paraId="385D1A60" w14:textId="77777777" w:rsidR="00DB4866" w:rsidRPr="001306DE" w:rsidRDefault="001D06DF" w:rsidP="001D06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Mr. Phan Thanh Viet</w:t>
      </w:r>
    </w:p>
    <w:p w14:paraId="66C9A618" w14:textId="77777777" w:rsidR="00DB4866" w:rsidRPr="001306DE" w:rsidRDefault="001D06DF" w:rsidP="001D06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Mr. Phung Quang Hai</w:t>
      </w:r>
    </w:p>
    <w:p w14:paraId="60F5E306" w14:textId="77777777" w:rsidR="00DB4866" w:rsidRPr="001306DE" w:rsidRDefault="001D06DF" w:rsidP="001D06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Mr. Nguyen Minh Tuan</w:t>
      </w:r>
    </w:p>
    <w:p w14:paraId="54134421" w14:textId="77777777" w:rsidR="00DB4866" w:rsidRPr="001306DE" w:rsidRDefault="001D06DF" w:rsidP="001D06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 xml:space="preserve">Mr. Pham Duc </w:t>
      </w:r>
      <w:proofErr w:type="spellStart"/>
      <w:r w:rsidRPr="001306DE">
        <w:rPr>
          <w:rFonts w:ascii="Arial" w:hAnsi="Arial"/>
          <w:color w:val="010000"/>
          <w:sz w:val="20"/>
        </w:rPr>
        <w:t>Hieu</w:t>
      </w:r>
      <w:proofErr w:type="spellEnd"/>
    </w:p>
    <w:p w14:paraId="022995DC" w14:textId="77777777" w:rsidR="00DB4866" w:rsidRPr="001306DE" w:rsidRDefault="001D06DF" w:rsidP="001D06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lastRenderedPageBreak/>
        <w:t xml:space="preserve">Mr. Nguyen </w:t>
      </w:r>
      <w:proofErr w:type="spellStart"/>
      <w:r w:rsidRPr="001306DE">
        <w:rPr>
          <w:rFonts w:ascii="Arial" w:hAnsi="Arial"/>
          <w:color w:val="010000"/>
          <w:sz w:val="20"/>
        </w:rPr>
        <w:t>Huu</w:t>
      </w:r>
      <w:proofErr w:type="spellEnd"/>
      <w:r w:rsidRPr="001306DE">
        <w:rPr>
          <w:rFonts w:ascii="Arial" w:hAnsi="Arial"/>
          <w:color w:val="010000"/>
          <w:sz w:val="20"/>
        </w:rPr>
        <w:t xml:space="preserve"> Thang</w:t>
      </w:r>
    </w:p>
    <w:p w14:paraId="1066D3AB" w14:textId="77777777" w:rsidR="00DB4866" w:rsidRPr="001306DE" w:rsidRDefault="001D06DF" w:rsidP="001D06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The Supervisory Board:</w:t>
      </w:r>
    </w:p>
    <w:p w14:paraId="53D30A2F" w14:textId="77777777" w:rsidR="00DB4866" w:rsidRPr="001306DE" w:rsidRDefault="001D06DF" w:rsidP="001D06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Ms. Tran Thi Viet Hang</w:t>
      </w:r>
    </w:p>
    <w:p w14:paraId="623A8D5B" w14:textId="77777777" w:rsidR="00DB4866" w:rsidRPr="001306DE" w:rsidRDefault="001D06DF" w:rsidP="001D06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 xml:space="preserve">Mr. Nguyen </w:t>
      </w:r>
      <w:proofErr w:type="spellStart"/>
      <w:r w:rsidRPr="001306DE">
        <w:rPr>
          <w:rFonts w:ascii="Arial" w:hAnsi="Arial"/>
          <w:color w:val="010000"/>
          <w:sz w:val="20"/>
        </w:rPr>
        <w:t>Binh</w:t>
      </w:r>
      <w:proofErr w:type="spellEnd"/>
      <w:r w:rsidRPr="001306DE">
        <w:rPr>
          <w:rFonts w:ascii="Arial" w:hAnsi="Arial"/>
          <w:color w:val="010000"/>
          <w:sz w:val="20"/>
        </w:rPr>
        <w:t xml:space="preserve"> An</w:t>
      </w:r>
    </w:p>
    <w:p w14:paraId="7B4DC58E" w14:textId="77777777" w:rsidR="00DB4866" w:rsidRPr="001306DE" w:rsidRDefault="001D06DF" w:rsidP="001D06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Mr. Dang The Nguyen</w:t>
      </w:r>
    </w:p>
    <w:p w14:paraId="71A0CF32" w14:textId="4C6971DD" w:rsidR="00DB4866" w:rsidRPr="001D06DF" w:rsidRDefault="001D06DF" w:rsidP="001D06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306DE">
        <w:rPr>
          <w:rFonts w:ascii="Arial" w:hAnsi="Arial"/>
          <w:color w:val="010000"/>
          <w:sz w:val="20"/>
        </w:rPr>
        <w:t>Article 2: The full text of this General Mandate was approved by the Annual General Meeting of sharehold</w:t>
      </w:r>
      <w:r w:rsidR="001306DE" w:rsidRPr="001306DE">
        <w:rPr>
          <w:rFonts w:ascii="Arial" w:hAnsi="Arial"/>
          <w:color w:val="010000"/>
          <w:sz w:val="20"/>
        </w:rPr>
        <w:t xml:space="preserve">ers 2024 dated April 23, 2024. </w:t>
      </w:r>
      <w:r w:rsidRPr="001306DE">
        <w:rPr>
          <w:rFonts w:ascii="Arial" w:hAnsi="Arial"/>
          <w:color w:val="010000"/>
          <w:sz w:val="20"/>
        </w:rPr>
        <w:t>The Board of Directors, the Supervisory Board and related departments, boards take responsibility</w:t>
      </w:r>
      <w:r w:rsidR="001306DE" w:rsidRPr="001306DE">
        <w:rPr>
          <w:rFonts w:ascii="Arial" w:hAnsi="Arial"/>
          <w:color w:val="010000"/>
          <w:sz w:val="20"/>
        </w:rPr>
        <w:t xml:space="preserve"> for implementing this Mandate.</w:t>
      </w:r>
      <w:r w:rsidRPr="001306DE">
        <w:rPr>
          <w:rFonts w:ascii="Arial" w:hAnsi="Arial"/>
          <w:color w:val="010000"/>
          <w:sz w:val="20"/>
        </w:rPr>
        <w:t xml:space="preserve"> This Mandate takes effect on the date of signing.</w:t>
      </w:r>
      <w:bookmarkStart w:id="0" w:name="_GoBack"/>
      <w:bookmarkEnd w:id="0"/>
    </w:p>
    <w:sectPr w:rsidR="00DB4866" w:rsidRPr="001D06DF" w:rsidSect="001D06D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altName w:val="Cambria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DEA"/>
    <w:multiLevelType w:val="multilevel"/>
    <w:tmpl w:val="B0A077C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760699"/>
    <w:multiLevelType w:val="multilevel"/>
    <w:tmpl w:val="A5EE185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124704"/>
    <w:multiLevelType w:val="multilevel"/>
    <w:tmpl w:val="3408A3B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23A7C68"/>
    <w:multiLevelType w:val="multilevel"/>
    <w:tmpl w:val="F68C246E"/>
    <w:lvl w:ilvl="0">
      <w:start w:val="1"/>
      <w:numFmt w:val="bullet"/>
      <w:lvlText w:val="*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ABC5444"/>
    <w:multiLevelType w:val="multilevel"/>
    <w:tmpl w:val="831655A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FE3F11"/>
    <w:multiLevelType w:val="multilevel"/>
    <w:tmpl w:val="637C048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2335A9B"/>
    <w:multiLevelType w:val="multilevel"/>
    <w:tmpl w:val="7DFA82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2F456E4"/>
    <w:multiLevelType w:val="multilevel"/>
    <w:tmpl w:val="4D481CC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D51104"/>
    <w:multiLevelType w:val="multilevel"/>
    <w:tmpl w:val="3320C55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5C85BAE"/>
    <w:multiLevelType w:val="multilevel"/>
    <w:tmpl w:val="C266545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681189E"/>
    <w:multiLevelType w:val="multilevel"/>
    <w:tmpl w:val="208265F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DD350A1"/>
    <w:multiLevelType w:val="multilevel"/>
    <w:tmpl w:val="E7E02338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5480B4A"/>
    <w:multiLevelType w:val="multilevel"/>
    <w:tmpl w:val="8CF29ABC"/>
    <w:lvl w:ilvl="0">
      <w:start w:val="1"/>
      <w:numFmt w:val="bullet"/>
      <w:lvlText w:val="*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66"/>
    <w:rsid w:val="001306DE"/>
    <w:rsid w:val="001D06DF"/>
    <w:rsid w:val="00386E5C"/>
    <w:rsid w:val="007511BA"/>
    <w:rsid w:val="008915A7"/>
    <w:rsid w:val="00DB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FD36A"/>
  <w15:docId w15:val="{D483B031-84EE-4DAA-9A3A-8503CCB9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FA1D23"/>
      <w:sz w:val="9"/>
      <w:szCs w:val="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1D23"/>
      <w:sz w:val="16"/>
      <w:szCs w:val="16"/>
      <w:u w:val="none"/>
    </w:rPr>
  </w:style>
  <w:style w:type="paragraph" w:customStyle="1" w:styleId="Bodytext20">
    <w:name w:val="Body text (2)"/>
    <w:basedOn w:val="Normal"/>
    <w:link w:val="Bodytext2"/>
    <w:pPr>
      <w:spacing w:line="257" w:lineRule="auto"/>
      <w:ind w:left="7220" w:hanging="6120"/>
    </w:pPr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11" w:lineRule="auto"/>
      <w:ind w:left="508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FA1D23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16" w:lineRule="auto"/>
    </w:pPr>
    <w:rPr>
      <w:rFonts w:ascii="Times New Roman" w:eastAsia="Times New Roman" w:hAnsi="Times New Roman" w:cs="Times New Roman"/>
      <w:color w:val="FA1D23"/>
      <w:sz w:val="16"/>
      <w:szCs w:val="16"/>
    </w:rPr>
  </w:style>
  <w:style w:type="character" w:customStyle="1" w:styleId="Other">
    <w:name w:val="Other_"/>
    <w:basedOn w:val="DefaultParagraphFont"/>
    <w:link w:val="Other0"/>
    <w:rsid w:val="007E7784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7E7784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iRAb73lm1uMbyVrr1SukIhc3Dg==">CgMxLjA4AHIhMU1iRWtuZ0JmNEE3SFdqbFdGbHM2Y0JNc2JseWhfSXJM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3174</Characters>
  <Application>Microsoft Office Word</Application>
  <DocSecurity>0</DocSecurity>
  <Lines>26</Lines>
  <Paragraphs>7</Paragraphs>
  <ScaleCrop>false</ScaleCrop>
  <Company>Microsoft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7</cp:revision>
  <dcterms:created xsi:type="dcterms:W3CDTF">2024-05-06T02:46:00Z</dcterms:created>
  <dcterms:modified xsi:type="dcterms:W3CDTF">2024-05-07T08:16:00Z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37cf2ef515c3d16c191f94bd052efc9e61fc437ba5e335435c41fd18ffc22b0b</vt:lpwstr>
  </property>
</Properties>
</file>