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6828" w14:textId="77777777" w:rsidR="005A5A4D" w:rsidRDefault="00547C5C" w:rsidP="007B793E">
      <w:pPr>
        <w:pBdr>
          <w:top w:val="nil"/>
          <w:left w:val="nil"/>
          <w:bottom w:val="nil"/>
          <w:right w:val="nil"/>
          <w:between w:val="nil"/>
        </w:pBdr>
        <w:tabs>
          <w:tab w:val="left" w:pos="432"/>
        </w:tabs>
        <w:spacing w:after="120" w:line="360" w:lineRule="auto"/>
        <w:jc w:val="both"/>
        <w:rPr>
          <w:rFonts w:ascii="Arial" w:eastAsia="Arial" w:hAnsi="Arial" w:cs="Arial"/>
          <w:b/>
          <w:sz w:val="20"/>
          <w:szCs w:val="20"/>
        </w:rPr>
      </w:pPr>
      <w:r>
        <w:rPr>
          <w:rFonts w:ascii="Arial" w:hAnsi="Arial"/>
          <w:b/>
          <w:sz w:val="20"/>
        </w:rPr>
        <w:t>DHP: Annual General Mandate 2024</w:t>
      </w:r>
    </w:p>
    <w:p w14:paraId="261A7CB5" w14:textId="3204B15B" w:rsidR="005A5A4D" w:rsidRDefault="00547C5C" w:rsidP="007B793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On April 26, 2024, Hai </w:t>
      </w:r>
      <w:proofErr w:type="spellStart"/>
      <w:r>
        <w:rPr>
          <w:rFonts w:ascii="Arial" w:hAnsi="Arial"/>
          <w:sz w:val="20"/>
        </w:rPr>
        <w:t>Phong</w:t>
      </w:r>
      <w:proofErr w:type="spellEnd"/>
      <w:r>
        <w:rPr>
          <w:rFonts w:ascii="Arial" w:hAnsi="Arial"/>
          <w:sz w:val="20"/>
        </w:rPr>
        <w:t xml:space="preserve"> Electrical Mechanical JSC announced Resolution No. 13/2024/DH</w:t>
      </w:r>
      <w:r w:rsidR="00BC2122">
        <w:rPr>
          <w:rFonts w:ascii="Arial" w:hAnsi="Arial"/>
          <w:sz w:val="20"/>
        </w:rPr>
        <w:t>P</w:t>
      </w:r>
      <w:r>
        <w:rPr>
          <w:rFonts w:ascii="Arial" w:hAnsi="Arial"/>
          <w:sz w:val="20"/>
        </w:rPr>
        <w:t xml:space="preserve">/NQ-DHDCD as follows: </w:t>
      </w:r>
    </w:p>
    <w:p w14:paraId="612EEBBE" w14:textId="77777777" w:rsidR="005A5A4D" w:rsidRDefault="00547C5C" w:rsidP="007B793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1: Approve the Report of the Company and the Board of Directors on the Board of Directors’ activities in 2023 and operational plan 2024. </w:t>
      </w:r>
    </w:p>
    <w:p w14:paraId="6016B682" w14:textId="77777777" w:rsidR="005A5A4D" w:rsidRDefault="00547C5C">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sz w:val="20"/>
          <w:szCs w:val="20"/>
        </w:rPr>
      </w:pPr>
      <w:r>
        <w:rPr>
          <w:rFonts w:ascii="Arial" w:hAnsi="Arial"/>
          <w:sz w:val="20"/>
        </w:rPr>
        <w:t>Results of implementing the plan in 2023</w:t>
      </w:r>
    </w:p>
    <w:tbl>
      <w:tblPr>
        <w:tblStyle w:val="a"/>
        <w:tblW w:w="9019" w:type="dxa"/>
        <w:tblLayout w:type="fixed"/>
        <w:tblLook w:val="0400" w:firstRow="0" w:lastRow="0" w:firstColumn="0" w:lastColumn="0" w:noHBand="0" w:noVBand="1"/>
      </w:tblPr>
      <w:tblGrid>
        <w:gridCol w:w="712"/>
        <w:gridCol w:w="2149"/>
        <w:gridCol w:w="716"/>
        <w:gridCol w:w="1862"/>
        <w:gridCol w:w="2148"/>
        <w:gridCol w:w="1432"/>
      </w:tblGrid>
      <w:tr w:rsidR="005A5A4D" w14:paraId="01B7BFE2" w14:textId="77777777">
        <w:trPr>
          <w:trHeight w:val="509"/>
        </w:trPr>
        <w:tc>
          <w:tcPr>
            <w:tcW w:w="712" w:type="dxa"/>
            <w:tcBorders>
              <w:top w:val="single" w:sz="4" w:space="0" w:color="000000"/>
              <w:left w:val="single" w:sz="4" w:space="0" w:color="000000"/>
            </w:tcBorders>
            <w:shd w:val="clear" w:color="auto" w:fill="FFFFFF"/>
            <w:vAlign w:val="center"/>
          </w:tcPr>
          <w:p w14:paraId="626474F0"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No.</w:t>
            </w:r>
          </w:p>
        </w:tc>
        <w:tc>
          <w:tcPr>
            <w:tcW w:w="2149" w:type="dxa"/>
            <w:tcBorders>
              <w:top w:val="single" w:sz="4" w:space="0" w:color="000000"/>
              <w:left w:val="single" w:sz="4" w:space="0" w:color="000000"/>
            </w:tcBorders>
            <w:shd w:val="clear" w:color="auto" w:fill="FFFFFF"/>
            <w:vAlign w:val="center"/>
          </w:tcPr>
          <w:p w14:paraId="42E7019D"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Content</w:t>
            </w:r>
          </w:p>
        </w:tc>
        <w:tc>
          <w:tcPr>
            <w:tcW w:w="716" w:type="dxa"/>
            <w:tcBorders>
              <w:top w:val="single" w:sz="4" w:space="0" w:color="000000"/>
              <w:left w:val="single" w:sz="4" w:space="0" w:color="000000"/>
            </w:tcBorders>
            <w:shd w:val="clear" w:color="auto" w:fill="FFFFFF"/>
            <w:vAlign w:val="center"/>
          </w:tcPr>
          <w:p w14:paraId="3335C97D"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Unit</w:t>
            </w:r>
          </w:p>
        </w:tc>
        <w:tc>
          <w:tcPr>
            <w:tcW w:w="1862" w:type="dxa"/>
            <w:tcBorders>
              <w:top w:val="single" w:sz="4" w:space="0" w:color="000000"/>
              <w:left w:val="single" w:sz="4" w:space="0" w:color="000000"/>
            </w:tcBorders>
            <w:shd w:val="clear" w:color="auto" w:fill="FFFFFF"/>
            <w:vAlign w:val="center"/>
          </w:tcPr>
          <w:p w14:paraId="317F980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Plan for 2023</w:t>
            </w:r>
          </w:p>
        </w:tc>
        <w:tc>
          <w:tcPr>
            <w:tcW w:w="2148" w:type="dxa"/>
            <w:tcBorders>
              <w:top w:val="single" w:sz="4" w:space="0" w:color="000000"/>
              <w:left w:val="single" w:sz="4" w:space="0" w:color="000000"/>
            </w:tcBorders>
            <w:shd w:val="clear" w:color="auto" w:fill="FFFFFF"/>
            <w:vAlign w:val="center"/>
          </w:tcPr>
          <w:p w14:paraId="06F71EC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Results in 2023</w:t>
            </w:r>
          </w:p>
        </w:tc>
        <w:tc>
          <w:tcPr>
            <w:tcW w:w="1432" w:type="dxa"/>
            <w:tcBorders>
              <w:top w:val="single" w:sz="4" w:space="0" w:color="000000"/>
              <w:left w:val="single" w:sz="4" w:space="0" w:color="000000"/>
              <w:right w:val="single" w:sz="4" w:space="0" w:color="000000"/>
            </w:tcBorders>
            <w:shd w:val="clear" w:color="auto" w:fill="FFFFFF"/>
            <w:vAlign w:val="bottom"/>
          </w:tcPr>
          <w:p w14:paraId="51658067"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Percentage</w:t>
            </w:r>
          </w:p>
          <w:p w14:paraId="3DFBD8C5"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w:t>
            </w:r>
          </w:p>
        </w:tc>
      </w:tr>
      <w:tr w:rsidR="005A5A4D" w14:paraId="1581D1D8" w14:textId="77777777">
        <w:trPr>
          <w:trHeight w:val="494"/>
        </w:trPr>
        <w:tc>
          <w:tcPr>
            <w:tcW w:w="712" w:type="dxa"/>
            <w:tcBorders>
              <w:top w:val="single" w:sz="4" w:space="0" w:color="000000"/>
              <w:left w:val="single" w:sz="4" w:space="0" w:color="000000"/>
            </w:tcBorders>
            <w:shd w:val="clear" w:color="auto" w:fill="FFFFFF"/>
            <w:vAlign w:val="center"/>
          </w:tcPr>
          <w:p w14:paraId="0148EB1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01</w:t>
            </w:r>
          </w:p>
        </w:tc>
        <w:tc>
          <w:tcPr>
            <w:tcW w:w="2149" w:type="dxa"/>
            <w:tcBorders>
              <w:top w:val="single" w:sz="4" w:space="0" w:color="000000"/>
              <w:left w:val="single" w:sz="4" w:space="0" w:color="000000"/>
            </w:tcBorders>
            <w:shd w:val="clear" w:color="auto" w:fill="FFFFFF"/>
            <w:vAlign w:val="bottom"/>
          </w:tcPr>
          <w:p w14:paraId="656E93DD"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proofErr w:type="spellStart"/>
            <w:r>
              <w:rPr>
                <w:rFonts w:ascii="Arial" w:hAnsi="Arial"/>
                <w:sz w:val="20"/>
              </w:rPr>
              <w:t>Phong</w:t>
            </w:r>
            <w:proofErr w:type="spellEnd"/>
            <w:r>
              <w:rPr>
                <w:rFonts w:ascii="Arial" w:hAnsi="Arial"/>
                <w:sz w:val="20"/>
              </w:rPr>
              <w:t xml:space="preserve"> Lan domestic electric fan</w:t>
            </w:r>
          </w:p>
        </w:tc>
        <w:tc>
          <w:tcPr>
            <w:tcW w:w="716" w:type="dxa"/>
            <w:tcBorders>
              <w:top w:val="single" w:sz="4" w:space="0" w:color="000000"/>
              <w:left w:val="single" w:sz="4" w:space="0" w:color="000000"/>
            </w:tcBorders>
            <w:shd w:val="clear" w:color="auto" w:fill="FFFFFF"/>
            <w:vAlign w:val="center"/>
          </w:tcPr>
          <w:p w14:paraId="5E2B67F5"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Pack</w:t>
            </w:r>
          </w:p>
        </w:tc>
        <w:tc>
          <w:tcPr>
            <w:tcW w:w="1862" w:type="dxa"/>
            <w:tcBorders>
              <w:top w:val="single" w:sz="4" w:space="0" w:color="000000"/>
              <w:left w:val="single" w:sz="4" w:space="0" w:color="000000"/>
            </w:tcBorders>
            <w:shd w:val="clear" w:color="auto" w:fill="FFFFFF"/>
            <w:vAlign w:val="center"/>
          </w:tcPr>
          <w:p w14:paraId="4240179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255,000</w:t>
            </w:r>
          </w:p>
        </w:tc>
        <w:tc>
          <w:tcPr>
            <w:tcW w:w="2148" w:type="dxa"/>
            <w:tcBorders>
              <w:top w:val="single" w:sz="4" w:space="0" w:color="000000"/>
              <w:left w:val="single" w:sz="4" w:space="0" w:color="000000"/>
            </w:tcBorders>
            <w:shd w:val="clear" w:color="auto" w:fill="FFFFFF"/>
            <w:vAlign w:val="center"/>
          </w:tcPr>
          <w:p w14:paraId="2FD4EF4B"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171,618</w:t>
            </w:r>
          </w:p>
        </w:tc>
        <w:tc>
          <w:tcPr>
            <w:tcW w:w="1432" w:type="dxa"/>
            <w:tcBorders>
              <w:top w:val="single" w:sz="4" w:space="0" w:color="000000"/>
              <w:left w:val="single" w:sz="4" w:space="0" w:color="000000"/>
              <w:right w:val="single" w:sz="4" w:space="0" w:color="000000"/>
            </w:tcBorders>
            <w:shd w:val="clear" w:color="auto" w:fill="FFFFFF"/>
            <w:vAlign w:val="center"/>
          </w:tcPr>
          <w:p w14:paraId="16ECCD04"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67.3</w:t>
            </w:r>
          </w:p>
        </w:tc>
      </w:tr>
      <w:tr w:rsidR="005A5A4D" w14:paraId="39F3167C" w14:textId="77777777">
        <w:trPr>
          <w:trHeight w:val="490"/>
        </w:trPr>
        <w:tc>
          <w:tcPr>
            <w:tcW w:w="712" w:type="dxa"/>
            <w:tcBorders>
              <w:top w:val="single" w:sz="4" w:space="0" w:color="000000"/>
              <w:left w:val="single" w:sz="4" w:space="0" w:color="000000"/>
            </w:tcBorders>
            <w:shd w:val="clear" w:color="auto" w:fill="FFFFFF"/>
            <w:vAlign w:val="center"/>
          </w:tcPr>
          <w:p w14:paraId="305C189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02</w:t>
            </w:r>
          </w:p>
        </w:tc>
        <w:tc>
          <w:tcPr>
            <w:tcW w:w="2149" w:type="dxa"/>
            <w:tcBorders>
              <w:top w:val="single" w:sz="4" w:space="0" w:color="000000"/>
              <w:left w:val="single" w:sz="4" w:space="0" w:color="000000"/>
            </w:tcBorders>
            <w:shd w:val="clear" w:color="auto" w:fill="FFFFFF"/>
            <w:vAlign w:val="center"/>
          </w:tcPr>
          <w:p w14:paraId="58276F5B"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Gale industrial fan</w:t>
            </w:r>
          </w:p>
        </w:tc>
        <w:tc>
          <w:tcPr>
            <w:tcW w:w="716" w:type="dxa"/>
            <w:tcBorders>
              <w:top w:val="single" w:sz="4" w:space="0" w:color="000000"/>
              <w:left w:val="single" w:sz="4" w:space="0" w:color="000000"/>
            </w:tcBorders>
            <w:shd w:val="clear" w:color="auto" w:fill="FFFFFF"/>
            <w:vAlign w:val="center"/>
          </w:tcPr>
          <w:p w14:paraId="7BE7D97C"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Pack</w:t>
            </w:r>
          </w:p>
        </w:tc>
        <w:tc>
          <w:tcPr>
            <w:tcW w:w="1862" w:type="dxa"/>
            <w:tcBorders>
              <w:top w:val="single" w:sz="4" w:space="0" w:color="000000"/>
              <w:left w:val="single" w:sz="4" w:space="0" w:color="000000"/>
            </w:tcBorders>
            <w:shd w:val="clear" w:color="auto" w:fill="FFFFFF"/>
            <w:vAlign w:val="center"/>
          </w:tcPr>
          <w:p w14:paraId="088F6BAD"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40,000</w:t>
            </w:r>
          </w:p>
        </w:tc>
        <w:tc>
          <w:tcPr>
            <w:tcW w:w="2148" w:type="dxa"/>
            <w:tcBorders>
              <w:top w:val="single" w:sz="4" w:space="0" w:color="000000"/>
              <w:left w:val="single" w:sz="4" w:space="0" w:color="000000"/>
            </w:tcBorders>
            <w:shd w:val="clear" w:color="auto" w:fill="FFFFFF"/>
            <w:vAlign w:val="center"/>
          </w:tcPr>
          <w:p w14:paraId="0122889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27,014</w:t>
            </w:r>
          </w:p>
        </w:tc>
        <w:tc>
          <w:tcPr>
            <w:tcW w:w="1432" w:type="dxa"/>
            <w:tcBorders>
              <w:top w:val="single" w:sz="4" w:space="0" w:color="000000"/>
              <w:left w:val="single" w:sz="4" w:space="0" w:color="000000"/>
              <w:right w:val="single" w:sz="4" w:space="0" w:color="000000"/>
            </w:tcBorders>
            <w:shd w:val="clear" w:color="auto" w:fill="FFFFFF"/>
            <w:vAlign w:val="center"/>
          </w:tcPr>
          <w:p w14:paraId="24DFD4CA"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67.54</w:t>
            </w:r>
          </w:p>
        </w:tc>
      </w:tr>
      <w:tr w:rsidR="005A5A4D" w14:paraId="6F06E5D7" w14:textId="77777777">
        <w:trPr>
          <w:trHeight w:val="490"/>
        </w:trPr>
        <w:tc>
          <w:tcPr>
            <w:tcW w:w="712" w:type="dxa"/>
            <w:tcBorders>
              <w:top w:val="single" w:sz="4" w:space="0" w:color="000000"/>
              <w:left w:val="single" w:sz="4" w:space="0" w:color="000000"/>
            </w:tcBorders>
            <w:shd w:val="clear" w:color="auto" w:fill="FFFFFF"/>
            <w:vAlign w:val="center"/>
          </w:tcPr>
          <w:p w14:paraId="3DB274D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03</w:t>
            </w:r>
          </w:p>
        </w:tc>
        <w:tc>
          <w:tcPr>
            <w:tcW w:w="2149" w:type="dxa"/>
            <w:tcBorders>
              <w:top w:val="single" w:sz="4" w:space="0" w:color="000000"/>
              <w:left w:val="single" w:sz="4" w:space="0" w:color="000000"/>
            </w:tcBorders>
            <w:shd w:val="clear" w:color="auto" w:fill="FFFFFF"/>
          </w:tcPr>
          <w:p w14:paraId="023A3455"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Mitsubishi imported fan</w:t>
            </w:r>
          </w:p>
        </w:tc>
        <w:tc>
          <w:tcPr>
            <w:tcW w:w="716" w:type="dxa"/>
            <w:tcBorders>
              <w:top w:val="single" w:sz="4" w:space="0" w:color="000000"/>
              <w:left w:val="single" w:sz="4" w:space="0" w:color="000000"/>
            </w:tcBorders>
            <w:shd w:val="clear" w:color="auto" w:fill="FFFFFF"/>
            <w:vAlign w:val="center"/>
          </w:tcPr>
          <w:p w14:paraId="0DF63F87"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Pack</w:t>
            </w:r>
          </w:p>
        </w:tc>
        <w:tc>
          <w:tcPr>
            <w:tcW w:w="1862" w:type="dxa"/>
            <w:tcBorders>
              <w:top w:val="single" w:sz="4" w:space="0" w:color="000000"/>
              <w:left w:val="single" w:sz="4" w:space="0" w:color="000000"/>
            </w:tcBorders>
            <w:shd w:val="clear" w:color="auto" w:fill="FFFFFF"/>
            <w:vAlign w:val="center"/>
          </w:tcPr>
          <w:p w14:paraId="3AEFDCB0"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70,000</w:t>
            </w:r>
          </w:p>
        </w:tc>
        <w:tc>
          <w:tcPr>
            <w:tcW w:w="2148" w:type="dxa"/>
            <w:tcBorders>
              <w:top w:val="single" w:sz="4" w:space="0" w:color="000000"/>
              <w:left w:val="single" w:sz="4" w:space="0" w:color="000000"/>
            </w:tcBorders>
            <w:shd w:val="clear" w:color="auto" w:fill="FFFFFF"/>
            <w:vAlign w:val="center"/>
          </w:tcPr>
          <w:p w14:paraId="1EF210B9"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52,635</w:t>
            </w:r>
          </w:p>
        </w:tc>
        <w:tc>
          <w:tcPr>
            <w:tcW w:w="1432" w:type="dxa"/>
            <w:tcBorders>
              <w:top w:val="single" w:sz="4" w:space="0" w:color="000000"/>
              <w:left w:val="single" w:sz="4" w:space="0" w:color="000000"/>
              <w:right w:val="single" w:sz="4" w:space="0" w:color="000000"/>
            </w:tcBorders>
            <w:shd w:val="clear" w:color="auto" w:fill="FFFFFF"/>
            <w:vAlign w:val="center"/>
          </w:tcPr>
          <w:p w14:paraId="4778594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75.19</w:t>
            </w:r>
          </w:p>
        </w:tc>
      </w:tr>
      <w:tr w:rsidR="005A5A4D" w14:paraId="475C7779" w14:textId="77777777">
        <w:trPr>
          <w:trHeight w:val="494"/>
        </w:trPr>
        <w:tc>
          <w:tcPr>
            <w:tcW w:w="712" w:type="dxa"/>
            <w:tcBorders>
              <w:top w:val="single" w:sz="4" w:space="0" w:color="000000"/>
              <w:left w:val="single" w:sz="4" w:space="0" w:color="000000"/>
            </w:tcBorders>
            <w:shd w:val="clear" w:color="auto" w:fill="FFFFFF"/>
            <w:vAlign w:val="center"/>
          </w:tcPr>
          <w:p w14:paraId="76AC678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04</w:t>
            </w:r>
          </w:p>
        </w:tc>
        <w:tc>
          <w:tcPr>
            <w:tcW w:w="2149" w:type="dxa"/>
            <w:tcBorders>
              <w:top w:val="single" w:sz="4" w:space="0" w:color="000000"/>
              <w:left w:val="single" w:sz="4" w:space="0" w:color="000000"/>
            </w:tcBorders>
            <w:shd w:val="clear" w:color="auto" w:fill="FFFFFF"/>
            <w:vAlign w:val="center"/>
          </w:tcPr>
          <w:p w14:paraId="4F0BD08D"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Fan cages of all kinds</w:t>
            </w:r>
          </w:p>
        </w:tc>
        <w:tc>
          <w:tcPr>
            <w:tcW w:w="716" w:type="dxa"/>
            <w:tcBorders>
              <w:top w:val="single" w:sz="4" w:space="0" w:color="000000"/>
              <w:left w:val="single" w:sz="4" w:space="0" w:color="000000"/>
            </w:tcBorders>
            <w:shd w:val="clear" w:color="auto" w:fill="FFFFFF"/>
            <w:vAlign w:val="center"/>
          </w:tcPr>
          <w:p w14:paraId="134C8179"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Set</w:t>
            </w:r>
          </w:p>
        </w:tc>
        <w:tc>
          <w:tcPr>
            <w:tcW w:w="1862" w:type="dxa"/>
            <w:tcBorders>
              <w:top w:val="single" w:sz="4" w:space="0" w:color="000000"/>
              <w:left w:val="single" w:sz="4" w:space="0" w:color="000000"/>
            </w:tcBorders>
            <w:shd w:val="clear" w:color="auto" w:fill="FFFFFF"/>
            <w:vAlign w:val="center"/>
          </w:tcPr>
          <w:p w14:paraId="790FC709"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520,000</w:t>
            </w:r>
          </w:p>
        </w:tc>
        <w:tc>
          <w:tcPr>
            <w:tcW w:w="2148" w:type="dxa"/>
            <w:tcBorders>
              <w:top w:val="single" w:sz="4" w:space="0" w:color="000000"/>
              <w:left w:val="single" w:sz="4" w:space="0" w:color="000000"/>
            </w:tcBorders>
            <w:shd w:val="clear" w:color="auto" w:fill="FFFFFF"/>
            <w:vAlign w:val="center"/>
          </w:tcPr>
          <w:p w14:paraId="6D539A6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399,665</w:t>
            </w:r>
          </w:p>
        </w:tc>
        <w:tc>
          <w:tcPr>
            <w:tcW w:w="1432" w:type="dxa"/>
            <w:tcBorders>
              <w:top w:val="single" w:sz="4" w:space="0" w:color="000000"/>
              <w:left w:val="single" w:sz="4" w:space="0" w:color="000000"/>
              <w:right w:val="single" w:sz="4" w:space="0" w:color="000000"/>
            </w:tcBorders>
            <w:shd w:val="clear" w:color="auto" w:fill="FFFFFF"/>
            <w:vAlign w:val="center"/>
          </w:tcPr>
          <w:p w14:paraId="3B585909"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76.86</w:t>
            </w:r>
          </w:p>
        </w:tc>
      </w:tr>
      <w:tr w:rsidR="005A5A4D" w14:paraId="34F006C6" w14:textId="77777777">
        <w:trPr>
          <w:trHeight w:val="499"/>
        </w:trPr>
        <w:tc>
          <w:tcPr>
            <w:tcW w:w="712" w:type="dxa"/>
            <w:tcBorders>
              <w:top w:val="single" w:sz="4" w:space="0" w:color="000000"/>
              <w:left w:val="single" w:sz="4" w:space="0" w:color="000000"/>
            </w:tcBorders>
            <w:shd w:val="clear" w:color="auto" w:fill="FFFFFF"/>
            <w:vAlign w:val="center"/>
          </w:tcPr>
          <w:p w14:paraId="4160488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05</w:t>
            </w:r>
          </w:p>
        </w:tc>
        <w:tc>
          <w:tcPr>
            <w:tcW w:w="2149" w:type="dxa"/>
            <w:tcBorders>
              <w:top w:val="single" w:sz="4" w:space="0" w:color="000000"/>
              <w:left w:val="single" w:sz="4" w:space="0" w:color="000000"/>
            </w:tcBorders>
            <w:shd w:val="clear" w:color="auto" w:fill="FFFFFF"/>
            <w:vAlign w:val="bottom"/>
          </w:tcPr>
          <w:p w14:paraId="25CC432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Materials, components, processing, etc.</w:t>
            </w:r>
          </w:p>
        </w:tc>
        <w:tc>
          <w:tcPr>
            <w:tcW w:w="716" w:type="dxa"/>
            <w:tcBorders>
              <w:top w:val="single" w:sz="4" w:space="0" w:color="000000"/>
              <w:left w:val="single" w:sz="4" w:space="0" w:color="000000"/>
            </w:tcBorders>
            <w:shd w:val="clear" w:color="auto" w:fill="FFFFFF"/>
            <w:vAlign w:val="center"/>
          </w:tcPr>
          <w:p w14:paraId="2838372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1862" w:type="dxa"/>
            <w:tcBorders>
              <w:top w:val="single" w:sz="4" w:space="0" w:color="000000"/>
              <w:left w:val="single" w:sz="4" w:space="0" w:color="000000"/>
            </w:tcBorders>
            <w:shd w:val="clear" w:color="auto" w:fill="FFFFFF"/>
            <w:vAlign w:val="center"/>
          </w:tcPr>
          <w:p w14:paraId="0FA7EDA5"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33,681,000,000</w:t>
            </w:r>
          </w:p>
        </w:tc>
        <w:tc>
          <w:tcPr>
            <w:tcW w:w="2148" w:type="dxa"/>
            <w:tcBorders>
              <w:top w:val="single" w:sz="4" w:space="0" w:color="000000"/>
              <w:left w:val="single" w:sz="4" w:space="0" w:color="000000"/>
            </w:tcBorders>
            <w:shd w:val="clear" w:color="auto" w:fill="FFFFFF"/>
            <w:vAlign w:val="center"/>
          </w:tcPr>
          <w:p w14:paraId="385481B3"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35,594,969,503</w:t>
            </w:r>
          </w:p>
        </w:tc>
        <w:tc>
          <w:tcPr>
            <w:tcW w:w="1432" w:type="dxa"/>
            <w:tcBorders>
              <w:top w:val="single" w:sz="4" w:space="0" w:color="000000"/>
              <w:left w:val="single" w:sz="4" w:space="0" w:color="000000"/>
              <w:right w:val="single" w:sz="4" w:space="0" w:color="000000"/>
            </w:tcBorders>
            <w:shd w:val="clear" w:color="auto" w:fill="FFFFFF"/>
            <w:vAlign w:val="center"/>
          </w:tcPr>
          <w:p w14:paraId="1D0070B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105.68</w:t>
            </w:r>
          </w:p>
        </w:tc>
      </w:tr>
      <w:tr w:rsidR="005A5A4D" w14:paraId="75F52CF8" w14:textId="77777777">
        <w:trPr>
          <w:trHeight w:val="499"/>
        </w:trPr>
        <w:tc>
          <w:tcPr>
            <w:tcW w:w="712" w:type="dxa"/>
            <w:tcBorders>
              <w:top w:val="single" w:sz="4" w:space="0" w:color="000000"/>
              <w:left w:val="single" w:sz="4" w:space="0" w:color="000000"/>
            </w:tcBorders>
            <w:shd w:val="clear" w:color="auto" w:fill="FFFFFF"/>
            <w:vAlign w:val="center"/>
          </w:tcPr>
          <w:p w14:paraId="7740B6EA"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06</w:t>
            </w:r>
          </w:p>
        </w:tc>
        <w:tc>
          <w:tcPr>
            <w:tcW w:w="2149" w:type="dxa"/>
            <w:tcBorders>
              <w:top w:val="single" w:sz="4" w:space="0" w:color="000000"/>
              <w:left w:val="single" w:sz="4" w:space="0" w:color="000000"/>
            </w:tcBorders>
            <w:shd w:val="clear" w:color="auto" w:fill="FFFFFF"/>
            <w:vAlign w:val="center"/>
          </w:tcPr>
          <w:p w14:paraId="08B618CF"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Total revenue</w:t>
            </w:r>
          </w:p>
        </w:tc>
        <w:tc>
          <w:tcPr>
            <w:tcW w:w="716" w:type="dxa"/>
            <w:tcBorders>
              <w:top w:val="single" w:sz="4" w:space="0" w:color="000000"/>
              <w:left w:val="single" w:sz="4" w:space="0" w:color="000000"/>
            </w:tcBorders>
            <w:shd w:val="clear" w:color="auto" w:fill="FFFFFF"/>
            <w:vAlign w:val="center"/>
          </w:tcPr>
          <w:p w14:paraId="4CE282F5"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1862" w:type="dxa"/>
            <w:tcBorders>
              <w:top w:val="single" w:sz="4" w:space="0" w:color="000000"/>
              <w:left w:val="single" w:sz="4" w:space="0" w:color="000000"/>
            </w:tcBorders>
            <w:shd w:val="clear" w:color="auto" w:fill="FFFFFF"/>
            <w:vAlign w:val="center"/>
          </w:tcPr>
          <w:p w14:paraId="28C6CEF7"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295,000,000,000</w:t>
            </w:r>
          </w:p>
        </w:tc>
        <w:tc>
          <w:tcPr>
            <w:tcW w:w="2148" w:type="dxa"/>
            <w:tcBorders>
              <w:top w:val="single" w:sz="4" w:space="0" w:color="000000"/>
              <w:left w:val="single" w:sz="4" w:space="0" w:color="000000"/>
            </w:tcBorders>
            <w:shd w:val="clear" w:color="auto" w:fill="FFFFFF"/>
            <w:vAlign w:val="center"/>
          </w:tcPr>
          <w:p w14:paraId="6DFEAB06"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230,021,128,555</w:t>
            </w:r>
          </w:p>
        </w:tc>
        <w:tc>
          <w:tcPr>
            <w:tcW w:w="1432" w:type="dxa"/>
            <w:tcBorders>
              <w:top w:val="single" w:sz="4" w:space="0" w:color="000000"/>
              <w:left w:val="single" w:sz="4" w:space="0" w:color="000000"/>
              <w:right w:val="single" w:sz="4" w:space="0" w:color="000000"/>
            </w:tcBorders>
            <w:shd w:val="clear" w:color="auto" w:fill="FFFFFF"/>
            <w:vAlign w:val="center"/>
          </w:tcPr>
          <w:p w14:paraId="5DF40874"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77.97</w:t>
            </w:r>
          </w:p>
        </w:tc>
      </w:tr>
      <w:tr w:rsidR="005A5A4D" w14:paraId="1DCC2A95" w14:textId="77777777">
        <w:trPr>
          <w:trHeight w:val="514"/>
        </w:trPr>
        <w:tc>
          <w:tcPr>
            <w:tcW w:w="712" w:type="dxa"/>
            <w:tcBorders>
              <w:top w:val="single" w:sz="4" w:space="0" w:color="000000"/>
              <w:left w:val="single" w:sz="4" w:space="0" w:color="000000"/>
              <w:bottom w:val="single" w:sz="4" w:space="0" w:color="000000"/>
            </w:tcBorders>
            <w:shd w:val="clear" w:color="auto" w:fill="FFFFFF"/>
          </w:tcPr>
          <w:p w14:paraId="59CB1656" w14:textId="77777777" w:rsidR="005A5A4D" w:rsidRDefault="005A5A4D">
            <w:pPr>
              <w:tabs>
                <w:tab w:val="left" w:pos="432"/>
              </w:tabs>
              <w:spacing w:after="120" w:line="360" w:lineRule="auto"/>
              <w:rPr>
                <w:rFonts w:ascii="Arial" w:eastAsia="Arial" w:hAnsi="Arial" w:cs="Arial"/>
                <w:sz w:val="20"/>
                <w:szCs w:val="20"/>
              </w:rPr>
            </w:pPr>
          </w:p>
        </w:tc>
        <w:tc>
          <w:tcPr>
            <w:tcW w:w="2149" w:type="dxa"/>
            <w:tcBorders>
              <w:top w:val="single" w:sz="4" w:space="0" w:color="000000"/>
              <w:left w:val="single" w:sz="4" w:space="0" w:color="000000"/>
              <w:bottom w:val="single" w:sz="4" w:space="0" w:color="000000"/>
            </w:tcBorders>
            <w:shd w:val="clear" w:color="auto" w:fill="FFFFFF"/>
            <w:vAlign w:val="center"/>
          </w:tcPr>
          <w:p w14:paraId="5F24BEFA"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 xml:space="preserve">Revenue deduction </w:t>
            </w:r>
          </w:p>
        </w:tc>
        <w:tc>
          <w:tcPr>
            <w:tcW w:w="716" w:type="dxa"/>
            <w:tcBorders>
              <w:top w:val="single" w:sz="4" w:space="0" w:color="000000"/>
              <w:left w:val="single" w:sz="4" w:space="0" w:color="000000"/>
              <w:bottom w:val="single" w:sz="4" w:space="0" w:color="000000"/>
            </w:tcBorders>
            <w:shd w:val="clear" w:color="auto" w:fill="FFFFFF"/>
            <w:vAlign w:val="center"/>
          </w:tcPr>
          <w:p w14:paraId="1FBF5F94"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1862" w:type="dxa"/>
            <w:tcBorders>
              <w:top w:val="single" w:sz="4" w:space="0" w:color="000000"/>
              <w:left w:val="single" w:sz="4" w:space="0" w:color="000000"/>
              <w:bottom w:val="single" w:sz="4" w:space="0" w:color="000000"/>
            </w:tcBorders>
            <w:shd w:val="clear" w:color="auto" w:fill="FFFFFF"/>
          </w:tcPr>
          <w:p w14:paraId="0BC273AE" w14:textId="77777777" w:rsidR="005A5A4D" w:rsidRDefault="005A5A4D">
            <w:pPr>
              <w:tabs>
                <w:tab w:val="left" w:pos="432"/>
              </w:tabs>
              <w:spacing w:after="120" w:line="360" w:lineRule="auto"/>
              <w:rPr>
                <w:rFonts w:ascii="Arial" w:eastAsia="Arial" w:hAnsi="Arial" w:cs="Arial"/>
                <w:sz w:val="20"/>
                <w:szCs w:val="20"/>
              </w:rPr>
            </w:pPr>
          </w:p>
        </w:tc>
        <w:tc>
          <w:tcPr>
            <w:tcW w:w="2148" w:type="dxa"/>
            <w:tcBorders>
              <w:top w:val="single" w:sz="4" w:space="0" w:color="000000"/>
              <w:left w:val="single" w:sz="4" w:space="0" w:color="000000"/>
              <w:bottom w:val="single" w:sz="4" w:space="0" w:color="000000"/>
            </w:tcBorders>
            <w:shd w:val="clear" w:color="auto" w:fill="FFFFFF"/>
            <w:vAlign w:val="center"/>
          </w:tcPr>
          <w:p w14:paraId="3DDC958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1,091,157,161</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Pr>
          <w:p w14:paraId="52623D08" w14:textId="77777777" w:rsidR="005A5A4D" w:rsidRDefault="005A5A4D">
            <w:pPr>
              <w:tabs>
                <w:tab w:val="left" w:pos="432"/>
              </w:tabs>
              <w:spacing w:after="120" w:line="360" w:lineRule="auto"/>
              <w:rPr>
                <w:rFonts w:ascii="Arial" w:eastAsia="Arial" w:hAnsi="Arial" w:cs="Arial"/>
                <w:sz w:val="20"/>
                <w:szCs w:val="20"/>
              </w:rPr>
            </w:pPr>
          </w:p>
        </w:tc>
      </w:tr>
      <w:tr w:rsidR="005A5A4D" w14:paraId="16A6E189" w14:textId="77777777">
        <w:trPr>
          <w:trHeight w:val="508"/>
        </w:trPr>
        <w:tc>
          <w:tcPr>
            <w:tcW w:w="712" w:type="dxa"/>
            <w:tcBorders>
              <w:top w:val="single" w:sz="4" w:space="0" w:color="000000"/>
              <w:left w:val="single" w:sz="4" w:space="0" w:color="000000"/>
            </w:tcBorders>
            <w:shd w:val="clear" w:color="auto" w:fill="FFFFFF"/>
          </w:tcPr>
          <w:p w14:paraId="3C8A6554" w14:textId="77777777" w:rsidR="005A5A4D" w:rsidRDefault="005A5A4D">
            <w:pPr>
              <w:tabs>
                <w:tab w:val="left" w:pos="432"/>
              </w:tabs>
              <w:spacing w:after="120" w:line="360" w:lineRule="auto"/>
              <w:rPr>
                <w:rFonts w:ascii="Arial" w:eastAsia="Arial" w:hAnsi="Arial" w:cs="Arial"/>
                <w:sz w:val="20"/>
                <w:szCs w:val="20"/>
              </w:rPr>
            </w:pPr>
          </w:p>
        </w:tc>
        <w:tc>
          <w:tcPr>
            <w:tcW w:w="2149" w:type="dxa"/>
            <w:tcBorders>
              <w:top w:val="single" w:sz="4" w:space="0" w:color="000000"/>
              <w:left w:val="single" w:sz="4" w:space="0" w:color="000000"/>
            </w:tcBorders>
            <w:shd w:val="clear" w:color="auto" w:fill="FFFFFF"/>
            <w:vAlign w:val="center"/>
          </w:tcPr>
          <w:p w14:paraId="245E212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Net revenue</w:t>
            </w:r>
          </w:p>
        </w:tc>
        <w:tc>
          <w:tcPr>
            <w:tcW w:w="716" w:type="dxa"/>
            <w:tcBorders>
              <w:top w:val="single" w:sz="4" w:space="0" w:color="000000"/>
              <w:left w:val="single" w:sz="4" w:space="0" w:color="000000"/>
            </w:tcBorders>
            <w:shd w:val="clear" w:color="auto" w:fill="FFFFFF"/>
            <w:vAlign w:val="center"/>
          </w:tcPr>
          <w:p w14:paraId="4A29D21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1862" w:type="dxa"/>
            <w:tcBorders>
              <w:top w:val="single" w:sz="4" w:space="0" w:color="000000"/>
              <w:left w:val="single" w:sz="4" w:space="0" w:color="000000"/>
            </w:tcBorders>
            <w:shd w:val="clear" w:color="auto" w:fill="FFFFFF"/>
          </w:tcPr>
          <w:p w14:paraId="416EAEA7" w14:textId="77777777" w:rsidR="005A5A4D" w:rsidRDefault="005A5A4D">
            <w:pPr>
              <w:tabs>
                <w:tab w:val="left" w:pos="432"/>
              </w:tabs>
              <w:spacing w:after="120" w:line="360" w:lineRule="auto"/>
              <w:rPr>
                <w:rFonts w:ascii="Arial" w:eastAsia="Arial" w:hAnsi="Arial" w:cs="Arial"/>
                <w:sz w:val="20"/>
                <w:szCs w:val="20"/>
              </w:rPr>
            </w:pPr>
          </w:p>
        </w:tc>
        <w:tc>
          <w:tcPr>
            <w:tcW w:w="2148" w:type="dxa"/>
            <w:tcBorders>
              <w:top w:val="single" w:sz="4" w:space="0" w:color="000000"/>
              <w:left w:val="single" w:sz="4" w:space="0" w:color="000000"/>
            </w:tcBorders>
            <w:shd w:val="clear" w:color="auto" w:fill="FFFFFF"/>
            <w:vAlign w:val="center"/>
          </w:tcPr>
          <w:p w14:paraId="4E2F09C5"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228,929,971,394</w:t>
            </w:r>
          </w:p>
        </w:tc>
        <w:tc>
          <w:tcPr>
            <w:tcW w:w="1432" w:type="dxa"/>
            <w:tcBorders>
              <w:top w:val="single" w:sz="4" w:space="0" w:color="000000"/>
              <w:left w:val="single" w:sz="4" w:space="0" w:color="000000"/>
              <w:right w:val="single" w:sz="4" w:space="0" w:color="000000"/>
            </w:tcBorders>
            <w:shd w:val="clear" w:color="auto" w:fill="FFFFFF"/>
          </w:tcPr>
          <w:p w14:paraId="7D96A0E1" w14:textId="77777777" w:rsidR="005A5A4D" w:rsidRDefault="005A5A4D">
            <w:pPr>
              <w:tabs>
                <w:tab w:val="left" w:pos="432"/>
              </w:tabs>
              <w:spacing w:after="120" w:line="360" w:lineRule="auto"/>
              <w:rPr>
                <w:rFonts w:ascii="Arial" w:eastAsia="Arial" w:hAnsi="Arial" w:cs="Arial"/>
                <w:sz w:val="20"/>
                <w:szCs w:val="20"/>
              </w:rPr>
            </w:pPr>
          </w:p>
        </w:tc>
      </w:tr>
      <w:tr w:rsidR="005A5A4D" w14:paraId="46AE797D" w14:textId="77777777">
        <w:trPr>
          <w:trHeight w:val="497"/>
        </w:trPr>
        <w:tc>
          <w:tcPr>
            <w:tcW w:w="712" w:type="dxa"/>
            <w:vMerge w:val="restart"/>
            <w:tcBorders>
              <w:top w:val="single" w:sz="4" w:space="0" w:color="000000"/>
              <w:left w:val="single" w:sz="4" w:space="0" w:color="000000"/>
            </w:tcBorders>
            <w:shd w:val="clear" w:color="auto" w:fill="FFFFFF"/>
            <w:vAlign w:val="center"/>
          </w:tcPr>
          <w:p w14:paraId="1B26F9BF"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07</w:t>
            </w:r>
          </w:p>
        </w:tc>
        <w:tc>
          <w:tcPr>
            <w:tcW w:w="2149" w:type="dxa"/>
            <w:tcBorders>
              <w:top w:val="single" w:sz="4" w:space="0" w:color="000000"/>
              <w:left w:val="single" w:sz="4" w:space="0" w:color="000000"/>
            </w:tcBorders>
            <w:shd w:val="clear" w:color="auto" w:fill="FFFFFF"/>
          </w:tcPr>
          <w:p w14:paraId="4147D7F9"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Profit after corporate income tax</w:t>
            </w:r>
          </w:p>
        </w:tc>
        <w:tc>
          <w:tcPr>
            <w:tcW w:w="716" w:type="dxa"/>
            <w:tcBorders>
              <w:top w:val="single" w:sz="4" w:space="0" w:color="000000"/>
              <w:left w:val="single" w:sz="4" w:space="0" w:color="000000"/>
            </w:tcBorders>
            <w:shd w:val="clear" w:color="auto" w:fill="FFFFFF"/>
            <w:vAlign w:val="center"/>
          </w:tcPr>
          <w:p w14:paraId="7C353F26"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1862" w:type="dxa"/>
            <w:tcBorders>
              <w:top w:val="single" w:sz="4" w:space="0" w:color="000000"/>
              <w:left w:val="single" w:sz="4" w:space="0" w:color="000000"/>
            </w:tcBorders>
            <w:shd w:val="clear" w:color="auto" w:fill="FFFFFF"/>
            <w:vAlign w:val="center"/>
          </w:tcPr>
          <w:p w14:paraId="21C490E3"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13,600,000,000</w:t>
            </w:r>
          </w:p>
        </w:tc>
        <w:tc>
          <w:tcPr>
            <w:tcW w:w="2148" w:type="dxa"/>
            <w:tcBorders>
              <w:top w:val="single" w:sz="4" w:space="0" w:color="000000"/>
              <w:left w:val="single" w:sz="4" w:space="0" w:color="000000"/>
            </w:tcBorders>
            <w:shd w:val="clear" w:color="auto" w:fill="FFFFFF"/>
            <w:vAlign w:val="center"/>
          </w:tcPr>
          <w:p w14:paraId="0CF72684"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12,756,634,159</w:t>
            </w:r>
          </w:p>
        </w:tc>
        <w:tc>
          <w:tcPr>
            <w:tcW w:w="1432" w:type="dxa"/>
            <w:tcBorders>
              <w:top w:val="single" w:sz="4" w:space="0" w:color="000000"/>
              <w:left w:val="single" w:sz="4" w:space="0" w:color="000000"/>
              <w:right w:val="single" w:sz="4" w:space="0" w:color="000000"/>
            </w:tcBorders>
            <w:shd w:val="clear" w:color="auto" w:fill="FFFFFF"/>
            <w:vAlign w:val="center"/>
          </w:tcPr>
          <w:p w14:paraId="008D4576"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93.8</w:t>
            </w:r>
          </w:p>
        </w:tc>
      </w:tr>
      <w:tr w:rsidR="005A5A4D" w14:paraId="0FFB2C02" w14:textId="77777777">
        <w:trPr>
          <w:trHeight w:val="493"/>
        </w:trPr>
        <w:tc>
          <w:tcPr>
            <w:tcW w:w="712" w:type="dxa"/>
            <w:vMerge/>
            <w:tcBorders>
              <w:top w:val="single" w:sz="4" w:space="0" w:color="000000"/>
              <w:left w:val="single" w:sz="4" w:space="0" w:color="000000"/>
            </w:tcBorders>
            <w:shd w:val="clear" w:color="auto" w:fill="FFFFFF"/>
            <w:vAlign w:val="center"/>
          </w:tcPr>
          <w:p w14:paraId="2E777E0A" w14:textId="77777777" w:rsidR="005A5A4D" w:rsidRDefault="005A5A4D">
            <w:pPr>
              <w:pBdr>
                <w:top w:val="nil"/>
                <w:left w:val="nil"/>
                <w:bottom w:val="nil"/>
                <w:right w:val="nil"/>
                <w:between w:val="nil"/>
              </w:pBdr>
              <w:spacing w:line="276" w:lineRule="auto"/>
              <w:rPr>
                <w:rFonts w:ascii="Arial" w:eastAsia="Arial" w:hAnsi="Arial" w:cs="Arial"/>
                <w:sz w:val="20"/>
                <w:szCs w:val="20"/>
              </w:rPr>
            </w:pPr>
          </w:p>
        </w:tc>
        <w:tc>
          <w:tcPr>
            <w:tcW w:w="2149" w:type="dxa"/>
            <w:tcBorders>
              <w:top w:val="single" w:sz="4" w:space="0" w:color="000000"/>
              <w:left w:val="single" w:sz="4" w:space="0" w:color="000000"/>
            </w:tcBorders>
            <w:shd w:val="clear" w:color="auto" w:fill="FFFFFF"/>
            <w:vAlign w:val="bottom"/>
          </w:tcPr>
          <w:p w14:paraId="392B0B77"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Profit after tax from production and business activities</w:t>
            </w:r>
          </w:p>
        </w:tc>
        <w:tc>
          <w:tcPr>
            <w:tcW w:w="716" w:type="dxa"/>
            <w:tcBorders>
              <w:top w:val="single" w:sz="4" w:space="0" w:color="000000"/>
              <w:left w:val="single" w:sz="4" w:space="0" w:color="000000"/>
            </w:tcBorders>
            <w:shd w:val="clear" w:color="auto" w:fill="FFFFFF"/>
            <w:vAlign w:val="center"/>
          </w:tcPr>
          <w:p w14:paraId="4363B929"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1862" w:type="dxa"/>
            <w:tcBorders>
              <w:top w:val="single" w:sz="4" w:space="0" w:color="000000"/>
              <w:left w:val="single" w:sz="4" w:space="0" w:color="000000"/>
            </w:tcBorders>
            <w:shd w:val="clear" w:color="auto" w:fill="FFFFFF"/>
            <w:vAlign w:val="center"/>
          </w:tcPr>
          <w:p w14:paraId="63C3271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12,800,000,000</w:t>
            </w:r>
          </w:p>
        </w:tc>
        <w:tc>
          <w:tcPr>
            <w:tcW w:w="2148" w:type="dxa"/>
            <w:tcBorders>
              <w:top w:val="single" w:sz="4" w:space="0" w:color="000000"/>
              <w:left w:val="single" w:sz="4" w:space="0" w:color="000000"/>
            </w:tcBorders>
            <w:shd w:val="clear" w:color="auto" w:fill="FFFFFF"/>
            <w:vAlign w:val="center"/>
          </w:tcPr>
          <w:p w14:paraId="50BEBAD3"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11,756,634,160</w:t>
            </w:r>
          </w:p>
        </w:tc>
        <w:tc>
          <w:tcPr>
            <w:tcW w:w="1432" w:type="dxa"/>
            <w:tcBorders>
              <w:top w:val="single" w:sz="4" w:space="0" w:color="000000"/>
              <w:left w:val="single" w:sz="4" w:space="0" w:color="000000"/>
              <w:right w:val="single" w:sz="4" w:space="0" w:color="000000"/>
            </w:tcBorders>
            <w:shd w:val="clear" w:color="auto" w:fill="FFFFFF"/>
            <w:vAlign w:val="center"/>
          </w:tcPr>
          <w:p w14:paraId="40120FF6"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91.8</w:t>
            </w:r>
          </w:p>
        </w:tc>
      </w:tr>
      <w:tr w:rsidR="005A5A4D" w14:paraId="3ACF9ECD" w14:textId="77777777">
        <w:trPr>
          <w:trHeight w:val="493"/>
        </w:trPr>
        <w:tc>
          <w:tcPr>
            <w:tcW w:w="712" w:type="dxa"/>
            <w:vMerge/>
            <w:tcBorders>
              <w:top w:val="single" w:sz="4" w:space="0" w:color="000000"/>
              <w:left w:val="single" w:sz="4" w:space="0" w:color="000000"/>
            </w:tcBorders>
            <w:shd w:val="clear" w:color="auto" w:fill="FFFFFF"/>
            <w:vAlign w:val="center"/>
          </w:tcPr>
          <w:p w14:paraId="31D401D3" w14:textId="77777777" w:rsidR="005A5A4D" w:rsidRDefault="005A5A4D">
            <w:pPr>
              <w:pBdr>
                <w:top w:val="nil"/>
                <w:left w:val="nil"/>
                <w:bottom w:val="nil"/>
                <w:right w:val="nil"/>
                <w:between w:val="nil"/>
              </w:pBdr>
              <w:spacing w:line="276" w:lineRule="auto"/>
              <w:rPr>
                <w:rFonts w:ascii="Arial" w:eastAsia="Arial" w:hAnsi="Arial" w:cs="Arial"/>
                <w:sz w:val="20"/>
                <w:szCs w:val="20"/>
              </w:rPr>
            </w:pPr>
          </w:p>
        </w:tc>
        <w:tc>
          <w:tcPr>
            <w:tcW w:w="2149" w:type="dxa"/>
            <w:tcBorders>
              <w:top w:val="single" w:sz="4" w:space="0" w:color="000000"/>
              <w:left w:val="single" w:sz="4" w:space="0" w:color="000000"/>
            </w:tcBorders>
            <w:shd w:val="clear" w:color="auto" w:fill="FFFFFF"/>
            <w:vAlign w:val="bottom"/>
          </w:tcPr>
          <w:p w14:paraId="2D56BEDD"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Profit after tax from capital investment activities</w:t>
            </w:r>
          </w:p>
        </w:tc>
        <w:tc>
          <w:tcPr>
            <w:tcW w:w="716" w:type="dxa"/>
            <w:tcBorders>
              <w:top w:val="single" w:sz="4" w:space="0" w:color="000000"/>
              <w:left w:val="single" w:sz="4" w:space="0" w:color="000000"/>
            </w:tcBorders>
            <w:shd w:val="clear" w:color="auto" w:fill="FFFFFF"/>
            <w:vAlign w:val="center"/>
          </w:tcPr>
          <w:p w14:paraId="73E4FB80"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1862" w:type="dxa"/>
            <w:tcBorders>
              <w:top w:val="single" w:sz="4" w:space="0" w:color="000000"/>
              <w:left w:val="single" w:sz="4" w:space="0" w:color="000000"/>
            </w:tcBorders>
            <w:shd w:val="clear" w:color="auto" w:fill="FFFFFF"/>
            <w:vAlign w:val="center"/>
          </w:tcPr>
          <w:p w14:paraId="329147D3"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800,000,000</w:t>
            </w:r>
          </w:p>
        </w:tc>
        <w:tc>
          <w:tcPr>
            <w:tcW w:w="2148" w:type="dxa"/>
            <w:tcBorders>
              <w:top w:val="single" w:sz="4" w:space="0" w:color="000000"/>
              <w:left w:val="single" w:sz="4" w:space="0" w:color="000000"/>
            </w:tcBorders>
            <w:shd w:val="clear" w:color="auto" w:fill="FFFFFF"/>
            <w:vAlign w:val="center"/>
          </w:tcPr>
          <w:p w14:paraId="0A7D39E7"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1,000,000,000</w:t>
            </w:r>
          </w:p>
        </w:tc>
        <w:tc>
          <w:tcPr>
            <w:tcW w:w="1432" w:type="dxa"/>
            <w:tcBorders>
              <w:top w:val="single" w:sz="4" w:space="0" w:color="000000"/>
              <w:left w:val="single" w:sz="4" w:space="0" w:color="000000"/>
              <w:right w:val="single" w:sz="4" w:space="0" w:color="000000"/>
            </w:tcBorders>
            <w:shd w:val="clear" w:color="auto" w:fill="FFFFFF"/>
            <w:vAlign w:val="center"/>
          </w:tcPr>
          <w:p w14:paraId="01231B0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125</w:t>
            </w:r>
          </w:p>
        </w:tc>
      </w:tr>
      <w:tr w:rsidR="005A5A4D" w14:paraId="177CD909" w14:textId="77777777">
        <w:trPr>
          <w:trHeight w:val="493"/>
        </w:trPr>
        <w:tc>
          <w:tcPr>
            <w:tcW w:w="712" w:type="dxa"/>
            <w:tcBorders>
              <w:top w:val="single" w:sz="4" w:space="0" w:color="000000"/>
              <w:left w:val="single" w:sz="4" w:space="0" w:color="000000"/>
            </w:tcBorders>
            <w:shd w:val="clear" w:color="auto" w:fill="FFFFFF"/>
            <w:vAlign w:val="center"/>
          </w:tcPr>
          <w:p w14:paraId="4A0BE31C"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08</w:t>
            </w:r>
          </w:p>
        </w:tc>
        <w:tc>
          <w:tcPr>
            <w:tcW w:w="2149" w:type="dxa"/>
            <w:tcBorders>
              <w:top w:val="single" w:sz="4" w:space="0" w:color="000000"/>
              <w:left w:val="single" w:sz="4" w:space="0" w:color="000000"/>
            </w:tcBorders>
            <w:shd w:val="clear" w:color="auto" w:fill="FFFFFF"/>
          </w:tcPr>
          <w:p w14:paraId="451476CC"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Dividend payment plan:</w:t>
            </w:r>
          </w:p>
        </w:tc>
        <w:tc>
          <w:tcPr>
            <w:tcW w:w="716" w:type="dxa"/>
            <w:tcBorders>
              <w:top w:val="single" w:sz="4" w:space="0" w:color="000000"/>
              <w:left w:val="single" w:sz="4" w:space="0" w:color="000000"/>
            </w:tcBorders>
            <w:shd w:val="clear" w:color="auto" w:fill="FFFFFF"/>
            <w:vAlign w:val="center"/>
          </w:tcPr>
          <w:p w14:paraId="3D1E50D8"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w:t>
            </w:r>
          </w:p>
        </w:tc>
        <w:tc>
          <w:tcPr>
            <w:tcW w:w="1862" w:type="dxa"/>
            <w:tcBorders>
              <w:top w:val="single" w:sz="4" w:space="0" w:color="000000"/>
              <w:left w:val="single" w:sz="4" w:space="0" w:color="000000"/>
            </w:tcBorders>
            <w:shd w:val="clear" w:color="auto" w:fill="FFFFFF"/>
            <w:vAlign w:val="center"/>
          </w:tcPr>
          <w:p w14:paraId="4F10350D"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10%/Par value/charter capital</w:t>
            </w:r>
          </w:p>
        </w:tc>
        <w:tc>
          <w:tcPr>
            <w:tcW w:w="2148" w:type="dxa"/>
            <w:tcBorders>
              <w:top w:val="single" w:sz="4" w:space="0" w:color="000000"/>
              <w:left w:val="single" w:sz="4" w:space="0" w:color="000000"/>
            </w:tcBorders>
            <w:shd w:val="clear" w:color="auto" w:fill="FFFFFF"/>
            <w:vAlign w:val="center"/>
          </w:tcPr>
          <w:p w14:paraId="3BD0119C"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10%/Par value/charter capital</w:t>
            </w:r>
          </w:p>
        </w:tc>
        <w:tc>
          <w:tcPr>
            <w:tcW w:w="1432" w:type="dxa"/>
            <w:tcBorders>
              <w:top w:val="single" w:sz="4" w:space="0" w:color="000000"/>
              <w:left w:val="single" w:sz="4" w:space="0" w:color="000000"/>
              <w:right w:val="single" w:sz="4" w:space="0" w:color="000000"/>
            </w:tcBorders>
            <w:shd w:val="clear" w:color="auto" w:fill="FFFFFF"/>
            <w:vAlign w:val="center"/>
          </w:tcPr>
          <w:p w14:paraId="38405800"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100</w:t>
            </w:r>
          </w:p>
        </w:tc>
      </w:tr>
      <w:tr w:rsidR="005A5A4D" w14:paraId="4C4F95A9" w14:textId="77777777">
        <w:trPr>
          <w:trHeight w:val="486"/>
        </w:trPr>
        <w:tc>
          <w:tcPr>
            <w:tcW w:w="712" w:type="dxa"/>
            <w:tcBorders>
              <w:top w:val="single" w:sz="4" w:space="0" w:color="000000"/>
              <w:left w:val="single" w:sz="4" w:space="0" w:color="000000"/>
            </w:tcBorders>
            <w:shd w:val="clear" w:color="auto" w:fill="FFFFFF"/>
            <w:vAlign w:val="center"/>
          </w:tcPr>
          <w:p w14:paraId="2B9EEA5D"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09</w:t>
            </w:r>
          </w:p>
        </w:tc>
        <w:tc>
          <w:tcPr>
            <w:tcW w:w="2149" w:type="dxa"/>
            <w:tcBorders>
              <w:top w:val="single" w:sz="4" w:space="0" w:color="000000"/>
              <w:left w:val="single" w:sz="4" w:space="0" w:color="000000"/>
            </w:tcBorders>
            <w:shd w:val="clear" w:color="auto" w:fill="FFFFFF"/>
            <w:vAlign w:val="center"/>
          </w:tcPr>
          <w:p w14:paraId="0A91BF3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Payables to the State budget</w:t>
            </w:r>
          </w:p>
        </w:tc>
        <w:tc>
          <w:tcPr>
            <w:tcW w:w="716" w:type="dxa"/>
            <w:tcBorders>
              <w:top w:val="single" w:sz="4" w:space="0" w:color="000000"/>
              <w:left w:val="single" w:sz="4" w:space="0" w:color="000000"/>
            </w:tcBorders>
            <w:shd w:val="clear" w:color="auto" w:fill="FFFFFF"/>
            <w:vAlign w:val="center"/>
          </w:tcPr>
          <w:p w14:paraId="14606045"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1862" w:type="dxa"/>
            <w:tcBorders>
              <w:top w:val="single" w:sz="4" w:space="0" w:color="000000"/>
              <w:left w:val="single" w:sz="4" w:space="0" w:color="000000"/>
            </w:tcBorders>
            <w:shd w:val="clear" w:color="auto" w:fill="FFFFFF"/>
            <w:vAlign w:val="center"/>
          </w:tcPr>
          <w:p w14:paraId="5059E3A6"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12,000,000,000</w:t>
            </w:r>
          </w:p>
        </w:tc>
        <w:tc>
          <w:tcPr>
            <w:tcW w:w="2148" w:type="dxa"/>
            <w:tcBorders>
              <w:top w:val="single" w:sz="4" w:space="0" w:color="000000"/>
              <w:left w:val="single" w:sz="4" w:space="0" w:color="000000"/>
            </w:tcBorders>
            <w:shd w:val="clear" w:color="auto" w:fill="FFFFFF"/>
            <w:vAlign w:val="center"/>
          </w:tcPr>
          <w:p w14:paraId="237F341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6,487,704,904</w:t>
            </w:r>
          </w:p>
        </w:tc>
        <w:tc>
          <w:tcPr>
            <w:tcW w:w="1432" w:type="dxa"/>
            <w:tcBorders>
              <w:top w:val="single" w:sz="4" w:space="0" w:color="000000"/>
              <w:left w:val="single" w:sz="4" w:space="0" w:color="000000"/>
              <w:right w:val="single" w:sz="4" w:space="0" w:color="000000"/>
            </w:tcBorders>
            <w:shd w:val="clear" w:color="auto" w:fill="FFFFFF"/>
            <w:vAlign w:val="center"/>
          </w:tcPr>
          <w:p w14:paraId="61FD451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54.06</w:t>
            </w:r>
          </w:p>
        </w:tc>
      </w:tr>
      <w:tr w:rsidR="005A5A4D" w14:paraId="25CD2C61" w14:textId="77777777">
        <w:trPr>
          <w:trHeight w:val="511"/>
        </w:trPr>
        <w:tc>
          <w:tcPr>
            <w:tcW w:w="712" w:type="dxa"/>
            <w:tcBorders>
              <w:top w:val="single" w:sz="4" w:space="0" w:color="000000"/>
              <w:left w:val="single" w:sz="4" w:space="0" w:color="000000"/>
              <w:bottom w:val="single" w:sz="4" w:space="0" w:color="000000"/>
            </w:tcBorders>
            <w:shd w:val="clear" w:color="auto" w:fill="FFFFFF"/>
            <w:vAlign w:val="center"/>
          </w:tcPr>
          <w:p w14:paraId="242D513C"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w:t>
            </w:r>
          </w:p>
        </w:tc>
        <w:tc>
          <w:tcPr>
            <w:tcW w:w="2149" w:type="dxa"/>
            <w:tcBorders>
              <w:top w:val="single" w:sz="4" w:space="0" w:color="000000"/>
              <w:left w:val="single" w:sz="4" w:space="0" w:color="000000"/>
              <w:bottom w:val="single" w:sz="4" w:space="0" w:color="000000"/>
            </w:tcBorders>
            <w:shd w:val="clear" w:color="auto" w:fill="FFFFFF"/>
            <w:vAlign w:val="bottom"/>
          </w:tcPr>
          <w:p w14:paraId="7992204B"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Average income of employees:</w:t>
            </w:r>
          </w:p>
        </w:tc>
        <w:tc>
          <w:tcPr>
            <w:tcW w:w="716" w:type="dxa"/>
            <w:tcBorders>
              <w:top w:val="single" w:sz="4" w:space="0" w:color="000000"/>
              <w:left w:val="single" w:sz="4" w:space="0" w:color="000000"/>
              <w:bottom w:val="single" w:sz="4" w:space="0" w:color="000000"/>
            </w:tcBorders>
            <w:shd w:val="clear" w:color="auto" w:fill="FFFFFF"/>
            <w:vAlign w:val="center"/>
          </w:tcPr>
          <w:p w14:paraId="75EDD19B"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1862" w:type="dxa"/>
            <w:tcBorders>
              <w:top w:val="single" w:sz="4" w:space="0" w:color="000000"/>
              <w:left w:val="single" w:sz="4" w:space="0" w:color="000000"/>
              <w:bottom w:val="single" w:sz="4" w:space="0" w:color="000000"/>
            </w:tcBorders>
            <w:shd w:val="clear" w:color="auto" w:fill="FFFFFF"/>
            <w:vAlign w:val="center"/>
          </w:tcPr>
          <w:p w14:paraId="3F8F2AF5"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10,300,000</w:t>
            </w:r>
          </w:p>
        </w:tc>
        <w:tc>
          <w:tcPr>
            <w:tcW w:w="2148" w:type="dxa"/>
            <w:tcBorders>
              <w:top w:val="single" w:sz="4" w:space="0" w:color="000000"/>
              <w:left w:val="single" w:sz="4" w:space="0" w:color="000000"/>
              <w:bottom w:val="single" w:sz="4" w:space="0" w:color="000000"/>
            </w:tcBorders>
            <w:shd w:val="clear" w:color="auto" w:fill="FFFFFF"/>
            <w:vAlign w:val="center"/>
          </w:tcPr>
          <w:p w14:paraId="726FD863"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9,500,000</w:t>
            </w:r>
          </w:p>
        </w:tc>
        <w:tc>
          <w:tcPr>
            <w:tcW w:w="14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D309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92.23</w:t>
            </w:r>
          </w:p>
        </w:tc>
      </w:tr>
    </w:tbl>
    <w:p w14:paraId="4B2C48D3" w14:textId="77777777" w:rsidR="005A5A4D" w:rsidRDefault="00547C5C">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sz w:val="20"/>
          <w:szCs w:val="20"/>
        </w:rPr>
      </w:pPr>
      <w:r>
        <w:rPr>
          <w:rFonts w:ascii="Arial" w:hAnsi="Arial"/>
          <w:sz w:val="20"/>
        </w:rPr>
        <w:lastRenderedPageBreak/>
        <w:t>Production and Business Plan 2024:</w:t>
      </w:r>
    </w:p>
    <w:tbl>
      <w:tblPr>
        <w:tblStyle w:val="a0"/>
        <w:tblW w:w="9018" w:type="dxa"/>
        <w:tblLayout w:type="fixed"/>
        <w:tblLook w:val="0400" w:firstRow="0" w:lastRow="0" w:firstColumn="0" w:lastColumn="0" w:noHBand="0" w:noVBand="1"/>
      </w:tblPr>
      <w:tblGrid>
        <w:gridCol w:w="899"/>
        <w:gridCol w:w="4443"/>
        <w:gridCol w:w="1149"/>
        <w:gridCol w:w="2527"/>
      </w:tblGrid>
      <w:tr w:rsidR="005A5A4D" w14:paraId="40372263" w14:textId="77777777">
        <w:trPr>
          <w:trHeight w:val="457"/>
        </w:trPr>
        <w:tc>
          <w:tcPr>
            <w:tcW w:w="900" w:type="dxa"/>
            <w:tcBorders>
              <w:top w:val="single" w:sz="4" w:space="0" w:color="000000"/>
              <w:left w:val="single" w:sz="4" w:space="0" w:color="000000"/>
            </w:tcBorders>
            <w:shd w:val="clear" w:color="auto" w:fill="FFFFFF"/>
            <w:vAlign w:val="bottom"/>
          </w:tcPr>
          <w:p w14:paraId="7CF29A58"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No.</w:t>
            </w:r>
          </w:p>
        </w:tc>
        <w:tc>
          <w:tcPr>
            <w:tcW w:w="4443" w:type="dxa"/>
            <w:tcBorders>
              <w:top w:val="single" w:sz="4" w:space="0" w:color="000000"/>
              <w:left w:val="single" w:sz="4" w:space="0" w:color="000000"/>
            </w:tcBorders>
            <w:shd w:val="clear" w:color="auto" w:fill="FFFFFF"/>
            <w:vAlign w:val="bottom"/>
          </w:tcPr>
          <w:p w14:paraId="02181E0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Content</w:t>
            </w:r>
          </w:p>
        </w:tc>
        <w:tc>
          <w:tcPr>
            <w:tcW w:w="1149" w:type="dxa"/>
            <w:tcBorders>
              <w:top w:val="single" w:sz="4" w:space="0" w:color="000000"/>
              <w:left w:val="single" w:sz="4" w:space="0" w:color="000000"/>
            </w:tcBorders>
            <w:shd w:val="clear" w:color="auto" w:fill="FFFFFF"/>
            <w:vAlign w:val="bottom"/>
          </w:tcPr>
          <w:p w14:paraId="7245AAC4"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Unit</w:t>
            </w:r>
          </w:p>
        </w:tc>
        <w:tc>
          <w:tcPr>
            <w:tcW w:w="2527" w:type="dxa"/>
            <w:tcBorders>
              <w:top w:val="single" w:sz="4" w:space="0" w:color="000000"/>
              <w:left w:val="single" w:sz="4" w:space="0" w:color="000000"/>
              <w:right w:val="single" w:sz="4" w:space="0" w:color="000000"/>
            </w:tcBorders>
            <w:shd w:val="clear" w:color="auto" w:fill="FFFFFF"/>
            <w:vAlign w:val="bottom"/>
          </w:tcPr>
          <w:p w14:paraId="75B51D6F"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Quantity</w:t>
            </w:r>
          </w:p>
        </w:tc>
      </w:tr>
      <w:tr w:rsidR="005A5A4D" w14:paraId="370D59C5" w14:textId="77777777">
        <w:trPr>
          <w:trHeight w:val="439"/>
        </w:trPr>
        <w:tc>
          <w:tcPr>
            <w:tcW w:w="900" w:type="dxa"/>
            <w:tcBorders>
              <w:top w:val="single" w:sz="4" w:space="0" w:color="000000"/>
              <w:left w:val="single" w:sz="4" w:space="0" w:color="000000"/>
            </w:tcBorders>
            <w:shd w:val="clear" w:color="auto" w:fill="FFFFFF"/>
            <w:vAlign w:val="bottom"/>
          </w:tcPr>
          <w:p w14:paraId="1E2EFB9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01</w:t>
            </w:r>
          </w:p>
        </w:tc>
        <w:tc>
          <w:tcPr>
            <w:tcW w:w="4443" w:type="dxa"/>
            <w:tcBorders>
              <w:top w:val="single" w:sz="4" w:space="0" w:color="000000"/>
              <w:left w:val="single" w:sz="4" w:space="0" w:color="000000"/>
            </w:tcBorders>
            <w:shd w:val="clear" w:color="auto" w:fill="FFFFFF"/>
            <w:vAlign w:val="bottom"/>
          </w:tcPr>
          <w:p w14:paraId="0B75CE15"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proofErr w:type="spellStart"/>
            <w:r>
              <w:rPr>
                <w:rFonts w:ascii="Arial" w:hAnsi="Arial"/>
                <w:sz w:val="20"/>
              </w:rPr>
              <w:t>Phong</w:t>
            </w:r>
            <w:proofErr w:type="spellEnd"/>
            <w:r>
              <w:rPr>
                <w:rFonts w:ascii="Arial" w:hAnsi="Arial"/>
                <w:sz w:val="20"/>
              </w:rPr>
              <w:t xml:space="preserve"> Lan domestic electric fan</w:t>
            </w:r>
          </w:p>
        </w:tc>
        <w:tc>
          <w:tcPr>
            <w:tcW w:w="1149" w:type="dxa"/>
            <w:tcBorders>
              <w:top w:val="single" w:sz="4" w:space="0" w:color="000000"/>
              <w:left w:val="single" w:sz="4" w:space="0" w:color="000000"/>
            </w:tcBorders>
            <w:shd w:val="clear" w:color="auto" w:fill="FFFFFF"/>
            <w:vAlign w:val="bottom"/>
          </w:tcPr>
          <w:p w14:paraId="416FBE64"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Pack</w:t>
            </w:r>
          </w:p>
        </w:tc>
        <w:tc>
          <w:tcPr>
            <w:tcW w:w="2527" w:type="dxa"/>
            <w:tcBorders>
              <w:top w:val="single" w:sz="4" w:space="0" w:color="000000"/>
              <w:left w:val="single" w:sz="4" w:space="0" w:color="000000"/>
              <w:right w:val="single" w:sz="4" w:space="0" w:color="000000"/>
            </w:tcBorders>
            <w:shd w:val="clear" w:color="auto" w:fill="FFFFFF"/>
            <w:vAlign w:val="bottom"/>
          </w:tcPr>
          <w:p w14:paraId="76E7D618"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210,000</w:t>
            </w:r>
          </w:p>
        </w:tc>
      </w:tr>
      <w:tr w:rsidR="005A5A4D" w14:paraId="66C18373" w14:textId="77777777">
        <w:trPr>
          <w:trHeight w:val="443"/>
        </w:trPr>
        <w:tc>
          <w:tcPr>
            <w:tcW w:w="900" w:type="dxa"/>
            <w:tcBorders>
              <w:top w:val="single" w:sz="4" w:space="0" w:color="000000"/>
              <w:left w:val="single" w:sz="4" w:space="0" w:color="000000"/>
            </w:tcBorders>
            <w:shd w:val="clear" w:color="auto" w:fill="FFFFFF"/>
            <w:vAlign w:val="bottom"/>
          </w:tcPr>
          <w:p w14:paraId="1639A89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02</w:t>
            </w:r>
          </w:p>
        </w:tc>
        <w:tc>
          <w:tcPr>
            <w:tcW w:w="4443" w:type="dxa"/>
            <w:tcBorders>
              <w:top w:val="single" w:sz="4" w:space="0" w:color="000000"/>
              <w:left w:val="single" w:sz="4" w:space="0" w:color="000000"/>
            </w:tcBorders>
            <w:shd w:val="clear" w:color="auto" w:fill="FFFFFF"/>
            <w:vAlign w:val="bottom"/>
          </w:tcPr>
          <w:p w14:paraId="3D049FE3"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Gale industrial fan</w:t>
            </w:r>
          </w:p>
        </w:tc>
        <w:tc>
          <w:tcPr>
            <w:tcW w:w="1149" w:type="dxa"/>
            <w:tcBorders>
              <w:top w:val="single" w:sz="4" w:space="0" w:color="000000"/>
              <w:left w:val="single" w:sz="4" w:space="0" w:color="000000"/>
            </w:tcBorders>
            <w:shd w:val="clear" w:color="auto" w:fill="FFFFFF"/>
            <w:vAlign w:val="bottom"/>
          </w:tcPr>
          <w:p w14:paraId="75769FCD"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Pack</w:t>
            </w:r>
          </w:p>
        </w:tc>
        <w:tc>
          <w:tcPr>
            <w:tcW w:w="2527" w:type="dxa"/>
            <w:tcBorders>
              <w:top w:val="single" w:sz="4" w:space="0" w:color="000000"/>
              <w:left w:val="single" w:sz="4" w:space="0" w:color="000000"/>
              <w:right w:val="single" w:sz="4" w:space="0" w:color="000000"/>
            </w:tcBorders>
            <w:shd w:val="clear" w:color="auto" w:fill="FFFFFF"/>
            <w:vAlign w:val="bottom"/>
          </w:tcPr>
          <w:p w14:paraId="62DD8198"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40,000</w:t>
            </w:r>
          </w:p>
        </w:tc>
      </w:tr>
      <w:tr w:rsidR="005A5A4D" w14:paraId="71057E27" w14:textId="77777777">
        <w:trPr>
          <w:trHeight w:val="439"/>
        </w:trPr>
        <w:tc>
          <w:tcPr>
            <w:tcW w:w="900" w:type="dxa"/>
            <w:tcBorders>
              <w:top w:val="single" w:sz="4" w:space="0" w:color="000000"/>
              <w:left w:val="single" w:sz="4" w:space="0" w:color="000000"/>
            </w:tcBorders>
            <w:shd w:val="clear" w:color="auto" w:fill="FFFFFF"/>
            <w:vAlign w:val="bottom"/>
          </w:tcPr>
          <w:p w14:paraId="28DCCDD0"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03</w:t>
            </w:r>
          </w:p>
        </w:tc>
        <w:tc>
          <w:tcPr>
            <w:tcW w:w="4443" w:type="dxa"/>
            <w:tcBorders>
              <w:top w:val="single" w:sz="4" w:space="0" w:color="000000"/>
              <w:left w:val="single" w:sz="4" w:space="0" w:color="000000"/>
            </w:tcBorders>
            <w:shd w:val="clear" w:color="auto" w:fill="FFFFFF"/>
            <w:vAlign w:val="bottom"/>
          </w:tcPr>
          <w:p w14:paraId="39D061C8"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Mitsubishi imported fan</w:t>
            </w:r>
          </w:p>
        </w:tc>
        <w:tc>
          <w:tcPr>
            <w:tcW w:w="1149" w:type="dxa"/>
            <w:tcBorders>
              <w:top w:val="single" w:sz="4" w:space="0" w:color="000000"/>
              <w:left w:val="single" w:sz="4" w:space="0" w:color="000000"/>
            </w:tcBorders>
            <w:shd w:val="clear" w:color="auto" w:fill="FFFFFF"/>
            <w:vAlign w:val="bottom"/>
          </w:tcPr>
          <w:p w14:paraId="0A43F87F"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Pack</w:t>
            </w:r>
          </w:p>
        </w:tc>
        <w:tc>
          <w:tcPr>
            <w:tcW w:w="2527" w:type="dxa"/>
            <w:tcBorders>
              <w:top w:val="single" w:sz="4" w:space="0" w:color="000000"/>
              <w:left w:val="single" w:sz="4" w:space="0" w:color="000000"/>
              <w:right w:val="single" w:sz="4" w:space="0" w:color="000000"/>
            </w:tcBorders>
            <w:shd w:val="clear" w:color="auto" w:fill="FFFFFF"/>
            <w:vAlign w:val="bottom"/>
          </w:tcPr>
          <w:p w14:paraId="6CA0D48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68,000</w:t>
            </w:r>
          </w:p>
        </w:tc>
      </w:tr>
      <w:tr w:rsidR="005A5A4D" w14:paraId="43D5AD43" w14:textId="77777777">
        <w:trPr>
          <w:trHeight w:val="436"/>
        </w:trPr>
        <w:tc>
          <w:tcPr>
            <w:tcW w:w="900" w:type="dxa"/>
            <w:tcBorders>
              <w:top w:val="single" w:sz="4" w:space="0" w:color="000000"/>
              <w:left w:val="single" w:sz="4" w:space="0" w:color="000000"/>
            </w:tcBorders>
            <w:shd w:val="clear" w:color="auto" w:fill="FFFFFF"/>
            <w:vAlign w:val="bottom"/>
          </w:tcPr>
          <w:p w14:paraId="7AC592FA"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04</w:t>
            </w:r>
          </w:p>
        </w:tc>
        <w:tc>
          <w:tcPr>
            <w:tcW w:w="4443" w:type="dxa"/>
            <w:tcBorders>
              <w:top w:val="single" w:sz="4" w:space="0" w:color="000000"/>
              <w:left w:val="single" w:sz="4" w:space="0" w:color="000000"/>
            </w:tcBorders>
            <w:shd w:val="clear" w:color="auto" w:fill="FFFFFF"/>
            <w:vAlign w:val="bottom"/>
          </w:tcPr>
          <w:p w14:paraId="08A487EB"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Fan cages of all kinds</w:t>
            </w:r>
          </w:p>
        </w:tc>
        <w:tc>
          <w:tcPr>
            <w:tcW w:w="1149" w:type="dxa"/>
            <w:tcBorders>
              <w:top w:val="single" w:sz="4" w:space="0" w:color="000000"/>
              <w:left w:val="single" w:sz="4" w:space="0" w:color="000000"/>
            </w:tcBorders>
            <w:shd w:val="clear" w:color="auto" w:fill="FFFFFF"/>
            <w:vAlign w:val="bottom"/>
          </w:tcPr>
          <w:p w14:paraId="2AFF0908"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Set</w:t>
            </w:r>
          </w:p>
        </w:tc>
        <w:tc>
          <w:tcPr>
            <w:tcW w:w="2527" w:type="dxa"/>
            <w:tcBorders>
              <w:top w:val="single" w:sz="4" w:space="0" w:color="000000"/>
              <w:left w:val="single" w:sz="4" w:space="0" w:color="000000"/>
              <w:right w:val="single" w:sz="4" w:space="0" w:color="000000"/>
            </w:tcBorders>
            <w:shd w:val="clear" w:color="auto" w:fill="FFFFFF"/>
            <w:vAlign w:val="bottom"/>
          </w:tcPr>
          <w:p w14:paraId="150A3666"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500,000</w:t>
            </w:r>
          </w:p>
        </w:tc>
      </w:tr>
      <w:tr w:rsidR="005A5A4D" w14:paraId="3A2E8549" w14:textId="77777777">
        <w:trPr>
          <w:trHeight w:val="439"/>
        </w:trPr>
        <w:tc>
          <w:tcPr>
            <w:tcW w:w="900" w:type="dxa"/>
            <w:tcBorders>
              <w:top w:val="single" w:sz="4" w:space="0" w:color="000000"/>
              <w:left w:val="single" w:sz="4" w:space="0" w:color="000000"/>
            </w:tcBorders>
            <w:shd w:val="clear" w:color="auto" w:fill="FFFFFF"/>
            <w:vAlign w:val="bottom"/>
          </w:tcPr>
          <w:p w14:paraId="7764C4B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05</w:t>
            </w:r>
          </w:p>
        </w:tc>
        <w:tc>
          <w:tcPr>
            <w:tcW w:w="4443" w:type="dxa"/>
            <w:tcBorders>
              <w:top w:val="single" w:sz="4" w:space="0" w:color="000000"/>
              <w:left w:val="single" w:sz="4" w:space="0" w:color="000000"/>
            </w:tcBorders>
            <w:shd w:val="clear" w:color="auto" w:fill="FFFFFF"/>
            <w:vAlign w:val="bottom"/>
          </w:tcPr>
          <w:p w14:paraId="6FDCB25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Materials, components, processing, etc.</w:t>
            </w:r>
          </w:p>
        </w:tc>
        <w:tc>
          <w:tcPr>
            <w:tcW w:w="1149" w:type="dxa"/>
            <w:tcBorders>
              <w:top w:val="single" w:sz="4" w:space="0" w:color="000000"/>
              <w:left w:val="single" w:sz="4" w:space="0" w:color="000000"/>
            </w:tcBorders>
            <w:shd w:val="clear" w:color="auto" w:fill="FFFFFF"/>
            <w:vAlign w:val="bottom"/>
          </w:tcPr>
          <w:p w14:paraId="00B1D307"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2527" w:type="dxa"/>
            <w:tcBorders>
              <w:top w:val="single" w:sz="4" w:space="0" w:color="000000"/>
              <w:left w:val="single" w:sz="4" w:space="0" w:color="000000"/>
              <w:right w:val="single" w:sz="4" w:space="0" w:color="000000"/>
            </w:tcBorders>
            <w:shd w:val="clear" w:color="auto" w:fill="FFFFFF"/>
            <w:vAlign w:val="bottom"/>
          </w:tcPr>
          <w:p w14:paraId="40F961ED"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26,000,000,000</w:t>
            </w:r>
          </w:p>
        </w:tc>
      </w:tr>
      <w:tr w:rsidR="005A5A4D" w14:paraId="6E18D4AF" w14:textId="77777777">
        <w:trPr>
          <w:trHeight w:val="439"/>
        </w:trPr>
        <w:tc>
          <w:tcPr>
            <w:tcW w:w="900" w:type="dxa"/>
            <w:tcBorders>
              <w:top w:val="single" w:sz="4" w:space="0" w:color="000000"/>
              <w:left w:val="single" w:sz="4" w:space="0" w:color="000000"/>
            </w:tcBorders>
            <w:shd w:val="clear" w:color="auto" w:fill="FFFFFF"/>
            <w:vAlign w:val="bottom"/>
          </w:tcPr>
          <w:p w14:paraId="25BC0BB3"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06</w:t>
            </w:r>
          </w:p>
        </w:tc>
        <w:tc>
          <w:tcPr>
            <w:tcW w:w="4443" w:type="dxa"/>
            <w:tcBorders>
              <w:top w:val="single" w:sz="4" w:space="0" w:color="000000"/>
              <w:left w:val="single" w:sz="4" w:space="0" w:color="000000"/>
            </w:tcBorders>
            <w:shd w:val="clear" w:color="auto" w:fill="FFFFFF"/>
            <w:vAlign w:val="bottom"/>
          </w:tcPr>
          <w:p w14:paraId="3A19A520"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Total revenue</w:t>
            </w:r>
          </w:p>
        </w:tc>
        <w:tc>
          <w:tcPr>
            <w:tcW w:w="1149" w:type="dxa"/>
            <w:tcBorders>
              <w:top w:val="single" w:sz="4" w:space="0" w:color="000000"/>
              <w:left w:val="single" w:sz="4" w:space="0" w:color="000000"/>
            </w:tcBorders>
            <w:shd w:val="clear" w:color="auto" w:fill="FFFFFF"/>
            <w:vAlign w:val="bottom"/>
          </w:tcPr>
          <w:p w14:paraId="04E080F7"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2527" w:type="dxa"/>
            <w:tcBorders>
              <w:top w:val="single" w:sz="4" w:space="0" w:color="000000"/>
              <w:left w:val="single" w:sz="4" w:space="0" w:color="000000"/>
              <w:right w:val="single" w:sz="4" w:space="0" w:color="000000"/>
            </w:tcBorders>
            <w:shd w:val="clear" w:color="auto" w:fill="FFFFFF"/>
            <w:vAlign w:val="bottom"/>
          </w:tcPr>
          <w:p w14:paraId="33C02A05"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282,000,000,000</w:t>
            </w:r>
          </w:p>
        </w:tc>
      </w:tr>
      <w:tr w:rsidR="005A5A4D" w14:paraId="3604B171" w14:textId="77777777">
        <w:trPr>
          <w:trHeight w:val="439"/>
        </w:trPr>
        <w:tc>
          <w:tcPr>
            <w:tcW w:w="900" w:type="dxa"/>
            <w:vMerge w:val="restart"/>
            <w:tcBorders>
              <w:top w:val="single" w:sz="4" w:space="0" w:color="000000"/>
              <w:left w:val="single" w:sz="4" w:space="0" w:color="000000"/>
            </w:tcBorders>
            <w:shd w:val="clear" w:color="auto" w:fill="FFFFFF"/>
            <w:vAlign w:val="center"/>
          </w:tcPr>
          <w:p w14:paraId="49A439BB"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07</w:t>
            </w:r>
          </w:p>
        </w:tc>
        <w:tc>
          <w:tcPr>
            <w:tcW w:w="4443" w:type="dxa"/>
            <w:tcBorders>
              <w:top w:val="single" w:sz="4" w:space="0" w:color="000000"/>
              <w:left w:val="single" w:sz="4" w:space="0" w:color="000000"/>
            </w:tcBorders>
            <w:shd w:val="clear" w:color="auto" w:fill="FFFFFF"/>
            <w:vAlign w:val="bottom"/>
          </w:tcPr>
          <w:p w14:paraId="3C479406"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Profit after corporate income tax</w:t>
            </w:r>
          </w:p>
        </w:tc>
        <w:tc>
          <w:tcPr>
            <w:tcW w:w="1149" w:type="dxa"/>
            <w:tcBorders>
              <w:top w:val="single" w:sz="4" w:space="0" w:color="000000"/>
              <w:left w:val="single" w:sz="4" w:space="0" w:color="000000"/>
            </w:tcBorders>
            <w:shd w:val="clear" w:color="auto" w:fill="FFFFFF"/>
            <w:vAlign w:val="bottom"/>
          </w:tcPr>
          <w:p w14:paraId="210682E6"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2527" w:type="dxa"/>
            <w:tcBorders>
              <w:top w:val="single" w:sz="4" w:space="0" w:color="000000"/>
              <w:left w:val="single" w:sz="4" w:space="0" w:color="000000"/>
              <w:right w:val="single" w:sz="4" w:space="0" w:color="000000"/>
            </w:tcBorders>
            <w:shd w:val="clear" w:color="auto" w:fill="FFFFFF"/>
            <w:vAlign w:val="bottom"/>
          </w:tcPr>
          <w:p w14:paraId="11D8676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13,800,000,000</w:t>
            </w:r>
          </w:p>
        </w:tc>
      </w:tr>
      <w:tr w:rsidR="005A5A4D" w14:paraId="7BCB6B1E" w14:textId="77777777">
        <w:trPr>
          <w:trHeight w:val="569"/>
        </w:trPr>
        <w:tc>
          <w:tcPr>
            <w:tcW w:w="900" w:type="dxa"/>
            <w:vMerge/>
            <w:tcBorders>
              <w:top w:val="single" w:sz="4" w:space="0" w:color="000000"/>
              <w:left w:val="single" w:sz="4" w:space="0" w:color="000000"/>
            </w:tcBorders>
            <w:shd w:val="clear" w:color="auto" w:fill="FFFFFF"/>
            <w:vAlign w:val="center"/>
          </w:tcPr>
          <w:p w14:paraId="6D1804A7" w14:textId="77777777" w:rsidR="005A5A4D" w:rsidRDefault="005A5A4D">
            <w:pPr>
              <w:pBdr>
                <w:top w:val="nil"/>
                <w:left w:val="nil"/>
                <w:bottom w:val="nil"/>
                <w:right w:val="nil"/>
                <w:between w:val="nil"/>
              </w:pBdr>
              <w:spacing w:line="276" w:lineRule="auto"/>
              <w:rPr>
                <w:rFonts w:ascii="Arial" w:eastAsia="Arial" w:hAnsi="Arial" w:cs="Arial"/>
                <w:sz w:val="20"/>
                <w:szCs w:val="20"/>
              </w:rPr>
            </w:pPr>
          </w:p>
        </w:tc>
        <w:tc>
          <w:tcPr>
            <w:tcW w:w="4443" w:type="dxa"/>
            <w:tcBorders>
              <w:top w:val="single" w:sz="4" w:space="0" w:color="000000"/>
              <w:left w:val="single" w:sz="4" w:space="0" w:color="000000"/>
            </w:tcBorders>
            <w:shd w:val="clear" w:color="auto" w:fill="FFFFFF"/>
            <w:vAlign w:val="bottom"/>
          </w:tcPr>
          <w:p w14:paraId="4D777B3F"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 xml:space="preserve">Profit after corporate income tax from production and business activity </w:t>
            </w:r>
          </w:p>
        </w:tc>
        <w:tc>
          <w:tcPr>
            <w:tcW w:w="1149" w:type="dxa"/>
            <w:tcBorders>
              <w:top w:val="single" w:sz="4" w:space="0" w:color="000000"/>
              <w:left w:val="single" w:sz="4" w:space="0" w:color="000000"/>
            </w:tcBorders>
            <w:shd w:val="clear" w:color="auto" w:fill="FFFFFF"/>
            <w:vAlign w:val="center"/>
          </w:tcPr>
          <w:p w14:paraId="7BBFEE09"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2527" w:type="dxa"/>
            <w:tcBorders>
              <w:top w:val="single" w:sz="4" w:space="0" w:color="000000"/>
              <w:left w:val="single" w:sz="4" w:space="0" w:color="000000"/>
              <w:right w:val="single" w:sz="4" w:space="0" w:color="000000"/>
            </w:tcBorders>
            <w:shd w:val="clear" w:color="auto" w:fill="FFFFFF"/>
            <w:vAlign w:val="center"/>
          </w:tcPr>
          <w:p w14:paraId="0D1BBA6C"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12,800,000,000</w:t>
            </w:r>
          </w:p>
        </w:tc>
      </w:tr>
      <w:tr w:rsidR="005A5A4D" w14:paraId="3F97D5E1" w14:textId="77777777">
        <w:trPr>
          <w:trHeight w:val="583"/>
        </w:trPr>
        <w:tc>
          <w:tcPr>
            <w:tcW w:w="900" w:type="dxa"/>
            <w:vMerge/>
            <w:tcBorders>
              <w:top w:val="single" w:sz="4" w:space="0" w:color="000000"/>
              <w:left w:val="single" w:sz="4" w:space="0" w:color="000000"/>
            </w:tcBorders>
            <w:shd w:val="clear" w:color="auto" w:fill="FFFFFF"/>
            <w:vAlign w:val="center"/>
          </w:tcPr>
          <w:p w14:paraId="45D94C58" w14:textId="77777777" w:rsidR="005A5A4D" w:rsidRDefault="005A5A4D">
            <w:pPr>
              <w:pBdr>
                <w:top w:val="nil"/>
                <w:left w:val="nil"/>
                <w:bottom w:val="nil"/>
                <w:right w:val="nil"/>
                <w:between w:val="nil"/>
              </w:pBdr>
              <w:spacing w:line="276" w:lineRule="auto"/>
              <w:rPr>
                <w:rFonts w:ascii="Arial" w:eastAsia="Arial" w:hAnsi="Arial" w:cs="Arial"/>
                <w:sz w:val="20"/>
                <w:szCs w:val="20"/>
              </w:rPr>
            </w:pPr>
          </w:p>
        </w:tc>
        <w:tc>
          <w:tcPr>
            <w:tcW w:w="4443" w:type="dxa"/>
            <w:tcBorders>
              <w:top w:val="single" w:sz="4" w:space="0" w:color="000000"/>
              <w:left w:val="single" w:sz="4" w:space="0" w:color="000000"/>
            </w:tcBorders>
            <w:shd w:val="clear" w:color="auto" w:fill="FFFFFF"/>
            <w:vAlign w:val="bottom"/>
          </w:tcPr>
          <w:p w14:paraId="3C529BEB"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Profit after corporate income tax from capital investment activity</w:t>
            </w:r>
          </w:p>
        </w:tc>
        <w:tc>
          <w:tcPr>
            <w:tcW w:w="1149" w:type="dxa"/>
            <w:tcBorders>
              <w:top w:val="single" w:sz="4" w:space="0" w:color="000000"/>
              <w:left w:val="single" w:sz="4" w:space="0" w:color="000000"/>
            </w:tcBorders>
            <w:shd w:val="clear" w:color="auto" w:fill="FFFFFF"/>
            <w:vAlign w:val="center"/>
          </w:tcPr>
          <w:p w14:paraId="483458F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2527" w:type="dxa"/>
            <w:tcBorders>
              <w:top w:val="single" w:sz="4" w:space="0" w:color="000000"/>
              <w:left w:val="single" w:sz="4" w:space="0" w:color="000000"/>
              <w:right w:val="single" w:sz="4" w:space="0" w:color="000000"/>
            </w:tcBorders>
            <w:shd w:val="clear" w:color="auto" w:fill="FFFFFF"/>
            <w:vAlign w:val="center"/>
          </w:tcPr>
          <w:p w14:paraId="1B44F5D6"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1,000,000,000</w:t>
            </w:r>
          </w:p>
        </w:tc>
      </w:tr>
      <w:tr w:rsidR="005A5A4D" w14:paraId="3FFC364B" w14:textId="77777777">
        <w:trPr>
          <w:trHeight w:val="439"/>
        </w:trPr>
        <w:tc>
          <w:tcPr>
            <w:tcW w:w="900" w:type="dxa"/>
            <w:tcBorders>
              <w:top w:val="single" w:sz="4" w:space="0" w:color="000000"/>
              <w:left w:val="single" w:sz="4" w:space="0" w:color="000000"/>
            </w:tcBorders>
            <w:shd w:val="clear" w:color="auto" w:fill="FFFFFF"/>
            <w:vAlign w:val="center"/>
          </w:tcPr>
          <w:p w14:paraId="3EF4E8FD"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08</w:t>
            </w:r>
          </w:p>
        </w:tc>
        <w:tc>
          <w:tcPr>
            <w:tcW w:w="4443" w:type="dxa"/>
            <w:tcBorders>
              <w:top w:val="single" w:sz="4" w:space="0" w:color="000000"/>
              <w:left w:val="single" w:sz="4" w:space="0" w:color="000000"/>
            </w:tcBorders>
            <w:shd w:val="clear" w:color="auto" w:fill="FFFFFF"/>
            <w:vAlign w:val="center"/>
          </w:tcPr>
          <w:p w14:paraId="549AF9F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Dividend payment plan:</w:t>
            </w:r>
          </w:p>
        </w:tc>
        <w:tc>
          <w:tcPr>
            <w:tcW w:w="1149" w:type="dxa"/>
            <w:tcBorders>
              <w:top w:val="single" w:sz="4" w:space="0" w:color="000000"/>
              <w:left w:val="single" w:sz="4" w:space="0" w:color="000000"/>
            </w:tcBorders>
            <w:shd w:val="clear" w:color="auto" w:fill="FFFFFF"/>
            <w:vAlign w:val="center"/>
          </w:tcPr>
          <w:p w14:paraId="5875551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w:t>
            </w:r>
          </w:p>
        </w:tc>
        <w:tc>
          <w:tcPr>
            <w:tcW w:w="2527" w:type="dxa"/>
            <w:tcBorders>
              <w:top w:val="single" w:sz="4" w:space="0" w:color="000000"/>
              <w:left w:val="single" w:sz="4" w:space="0" w:color="000000"/>
              <w:right w:val="single" w:sz="4" w:space="0" w:color="000000"/>
            </w:tcBorders>
            <w:shd w:val="clear" w:color="auto" w:fill="FFFFFF"/>
            <w:vAlign w:val="center"/>
          </w:tcPr>
          <w:p w14:paraId="284D7E8A"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10%/Par value/charter capital</w:t>
            </w:r>
          </w:p>
        </w:tc>
      </w:tr>
      <w:tr w:rsidR="005A5A4D" w14:paraId="3D366A17" w14:textId="77777777">
        <w:trPr>
          <w:trHeight w:val="439"/>
        </w:trPr>
        <w:tc>
          <w:tcPr>
            <w:tcW w:w="900" w:type="dxa"/>
            <w:tcBorders>
              <w:top w:val="single" w:sz="4" w:space="0" w:color="000000"/>
              <w:left w:val="single" w:sz="4" w:space="0" w:color="000000"/>
            </w:tcBorders>
            <w:shd w:val="clear" w:color="auto" w:fill="FFFFFF"/>
            <w:vAlign w:val="bottom"/>
          </w:tcPr>
          <w:p w14:paraId="49BBC3FF"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09</w:t>
            </w:r>
          </w:p>
        </w:tc>
        <w:tc>
          <w:tcPr>
            <w:tcW w:w="4443" w:type="dxa"/>
            <w:tcBorders>
              <w:top w:val="single" w:sz="4" w:space="0" w:color="000000"/>
              <w:left w:val="single" w:sz="4" w:space="0" w:color="000000"/>
            </w:tcBorders>
            <w:shd w:val="clear" w:color="auto" w:fill="FFFFFF"/>
            <w:vAlign w:val="bottom"/>
          </w:tcPr>
          <w:p w14:paraId="435AE4EE"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Payables to the State budget</w:t>
            </w:r>
          </w:p>
        </w:tc>
        <w:tc>
          <w:tcPr>
            <w:tcW w:w="1149" w:type="dxa"/>
            <w:tcBorders>
              <w:top w:val="single" w:sz="4" w:space="0" w:color="000000"/>
              <w:left w:val="single" w:sz="4" w:space="0" w:color="000000"/>
            </w:tcBorders>
            <w:shd w:val="clear" w:color="auto" w:fill="FFFFFF"/>
            <w:vAlign w:val="bottom"/>
          </w:tcPr>
          <w:p w14:paraId="110D4964"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2527" w:type="dxa"/>
            <w:tcBorders>
              <w:top w:val="single" w:sz="4" w:space="0" w:color="000000"/>
              <w:left w:val="single" w:sz="4" w:space="0" w:color="000000"/>
              <w:right w:val="single" w:sz="4" w:space="0" w:color="000000"/>
            </w:tcBorders>
            <w:shd w:val="clear" w:color="auto" w:fill="FFFFFF"/>
            <w:vAlign w:val="bottom"/>
          </w:tcPr>
          <w:p w14:paraId="45C54D6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10,000,000,000</w:t>
            </w:r>
          </w:p>
        </w:tc>
      </w:tr>
      <w:tr w:rsidR="005A5A4D" w14:paraId="0098C307" w14:textId="77777777">
        <w:trPr>
          <w:trHeight w:val="464"/>
        </w:trPr>
        <w:tc>
          <w:tcPr>
            <w:tcW w:w="900" w:type="dxa"/>
            <w:tcBorders>
              <w:top w:val="single" w:sz="4" w:space="0" w:color="000000"/>
              <w:left w:val="single" w:sz="4" w:space="0" w:color="000000"/>
              <w:bottom w:val="single" w:sz="4" w:space="0" w:color="000000"/>
            </w:tcBorders>
            <w:shd w:val="clear" w:color="auto" w:fill="FFFFFF"/>
            <w:vAlign w:val="center"/>
          </w:tcPr>
          <w:p w14:paraId="6B90C4C0"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w:t>
            </w:r>
          </w:p>
        </w:tc>
        <w:tc>
          <w:tcPr>
            <w:tcW w:w="4443" w:type="dxa"/>
            <w:tcBorders>
              <w:top w:val="single" w:sz="4" w:space="0" w:color="000000"/>
              <w:left w:val="single" w:sz="4" w:space="0" w:color="000000"/>
              <w:bottom w:val="single" w:sz="4" w:space="0" w:color="000000"/>
            </w:tcBorders>
            <w:shd w:val="clear" w:color="auto" w:fill="FFFFFF"/>
            <w:vAlign w:val="center"/>
          </w:tcPr>
          <w:p w14:paraId="2BD8F62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Average income of employees:</w:t>
            </w:r>
          </w:p>
        </w:tc>
        <w:tc>
          <w:tcPr>
            <w:tcW w:w="1149" w:type="dxa"/>
            <w:tcBorders>
              <w:top w:val="single" w:sz="4" w:space="0" w:color="000000"/>
              <w:left w:val="single" w:sz="4" w:space="0" w:color="000000"/>
              <w:bottom w:val="single" w:sz="4" w:space="0" w:color="000000"/>
            </w:tcBorders>
            <w:shd w:val="clear" w:color="auto" w:fill="FFFFFF"/>
            <w:vAlign w:val="center"/>
          </w:tcPr>
          <w:p w14:paraId="3D673DE9"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VND</w:t>
            </w:r>
          </w:p>
        </w:tc>
        <w:tc>
          <w:tcPr>
            <w:tcW w:w="2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ED907"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10,000,000</w:t>
            </w:r>
          </w:p>
        </w:tc>
      </w:tr>
    </w:tbl>
    <w:p w14:paraId="384337AB"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Article 2: Approve the General Manager’s Report on production and business activities 2023 and production and business plan 2024:</w:t>
      </w:r>
    </w:p>
    <w:p w14:paraId="05BB74D0"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 xml:space="preserve">Article 3: Approve the report on control activities and verification of the Financial Statements 2023 and plan 2024 of the Supervisory Board. </w:t>
      </w:r>
    </w:p>
    <w:p w14:paraId="705A2C3D" w14:textId="4BD08933"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 xml:space="preserve">Article 4 Approve the audited Financial Statements 2023 of Hai </w:t>
      </w:r>
      <w:proofErr w:type="spellStart"/>
      <w:r>
        <w:rPr>
          <w:rFonts w:ascii="Arial" w:hAnsi="Arial"/>
          <w:sz w:val="20"/>
        </w:rPr>
        <w:t>Phong</w:t>
      </w:r>
      <w:proofErr w:type="spellEnd"/>
      <w:r>
        <w:rPr>
          <w:rFonts w:ascii="Arial" w:hAnsi="Arial"/>
          <w:sz w:val="20"/>
        </w:rPr>
        <w:t xml:space="preserve"> Electrical Mechanical JSC. </w:t>
      </w:r>
    </w:p>
    <w:p w14:paraId="4E601400"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 xml:space="preserve">Article 5: Approve the profit distribution plan, appropriation for funds 2023 and dividend payment rate 2023. </w:t>
      </w:r>
    </w:p>
    <w:p w14:paraId="56EC16F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 xml:space="preserve">Profit distribution plan and appropriation for funds 2023: </w:t>
      </w:r>
    </w:p>
    <w:tbl>
      <w:tblPr>
        <w:tblStyle w:val="a1"/>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
        <w:gridCol w:w="556"/>
        <w:gridCol w:w="5424"/>
        <w:gridCol w:w="2374"/>
      </w:tblGrid>
      <w:tr w:rsidR="005A5A4D" w14:paraId="03ACC648" w14:textId="77777777">
        <w:tc>
          <w:tcPr>
            <w:tcW w:w="665" w:type="dxa"/>
          </w:tcPr>
          <w:p w14:paraId="3A391EAD"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No.</w:t>
            </w:r>
          </w:p>
        </w:tc>
        <w:tc>
          <w:tcPr>
            <w:tcW w:w="5980" w:type="dxa"/>
            <w:gridSpan w:val="2"/>
          </w:tcPr>
          <w:p w14:paraId="3C5AA7BE"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Target</w:t>
            </w:r>
          </w:p>
        </w:tc>
        <w:tc>
          <w:tcPr>
            <w:tcW w:w="2374" w:type="dxa"/>
          </w:tcPr>
          <w:p w14:paraId="7CE1F624"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Amount (VND)</w:t>
            </w:r>
          </w:p>
        </w:tc>
      </w:tr>
      <w:tr w:rsidR="005A5A4D" w14:paraId="7C5FAB70" w14:textId="77777777">
        <w:tc>
          <w:tcPr>
            <w:tcW w:w="665" w:type="dxa"/>
          </w:tcPr>
          <w:p w14:paraId="163F6DBC"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1</w:t>
            </w:r>
          </w:p>
        </w:tc>
        <w:tc>
          <w:tcPr>
            <w:tcW w:w="5980" w:type="dxa"/>
            <w:gridSpan w:val="2"/>
          </w:tcPr>
          <w:p w14:paraId="1A6173E8"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Profit after corporate income tax during the year</w:t>
            </w:r>
          </w:p>
        </w:tc>
        <w:tc>
          <w:tcPr>
            <w:tcW w:w="2374" w:type="dxa"/>
          </w:tcPr>
          <w:p w14:paraId="27A83E0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12,756,634,159</w:t>
            </w:r>
          </w:p>
        </w:tc>
      </w:tr>
      <w:tr w:rsidR="005A5A4D" w14:paraId="265B334E" w14:textId="77777777">
        <w:tc>
          <w:tcPr>
            <w:tcW w:w="665" w:type="dxa"/>
          </w:tcPr>
          <w:p w14:paraId="7D40EA49"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2</w:t>
            </w:r>
          </w:p>
        </w:tc>
        <w:tc>
          <w:tcPr>
            <w:tcW w:w="5980" w:type="dxa"/>
            <w:gridSpan w:val="2"/>
          </w:tcPr>
          <w:p w14:paraId="3E68E370"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Undistributed after-tax profits as of December 31, 2023</w:t>
            </w:r>
          </w:p>
        </w:tc>
        <w:tc>
          <w:tcPr>
            <w:tcW w:w="2374" w:type="dxa"/>
          </w:tcPr>
          <w:p w14:paraId="58EA0F56"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63,687,003,854</w:t>
            </w:r>
          </w:p>
        </w:tc>
      </w:tr>
      <w:tr w:rsidR="005A5A4D" w14:paraId="43432FB6" w14:textId="77777777">
        <w:tc>
          <w:tcPr>
            <w:tcW w:w="665" w:type="dxa"/>
          </w:tcPr>
          <w:p w14:paraId="13CC01BE"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3</w:t>
            </w:r>
          </w:p>
        </w:tc>
        <w:tc>
          <w:tcPr>
            <w:tcW w:w="5980" w:type="dxa"/>
            <w:gridSpan w:val="2"/>
          </w:tcPr>
          <w:p w14:paraId="146B97AA"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Appropriation for funds:</w:t>
            </w:r>
          </w:p>
        </w:tc>
        <w:tc>
          <w:tcPr>
            <w:tcW w:w="2374" w:type="dxa"/>
          </w:tcPr>
          <w:p w14:paraId="7EA60CBA" w14:textId="77777777" w:rsidR="005A5A4D" w:rsidRDefault="005A5A4D">
            <w:pPr>
              <w:pBdr>
                <w:top w:val="nil"/>
                <w:left w:val="nil"/>
                <w:bottom w:val="nil"/>
                <w:right w:val="nil"/>
                <w:between w:val="nil"/>
              </w:pBdr>
              <w:tabs>
                <w:tab w:val="left" w:pos="419"/>
              </w:tabs>
              <w:spacing w:after="120" w:line="360" w:lineRule="auto"/>
              <w:rPr>
                <w:rFonts w:ascii="Arial" w:eastAsia="Arial" w:hAnsi="Arial" w:cs="Arial"/>
                <w:sz w:val="20"/>
                <w:szCs w:val="20"/>
              </w:rPr>
            </w:pPr>
          </w:p>
        </w:tc>
      </w:tr>
      <w:tr w:rsidR="005A5A4D" w14:paraId="6E054E1C" w14:textId="77777777">
        <w:trPr>
          <w:trHeight w:val="608"/>
        </w:trPr>
        <w:tc>
          <w:tcPr>
            <w:tcW w:w="665" w:type="dxa"/>
          </w:tcPr>
          <w:p w14:paraId="038A2194" w14:textId="77777777" w:rsidR="005A5A4D" w:rsidRDefault="005A5A4D">
            <w:pPr>
              <w:pBdr>
                <w:top w:val="nil"/>
                <w:left w:val="nil"/>
                <w:bottom w:val="nil"/>
                <w:right w:val="nil"/>
                <w:between w:val="nil"/>
              </w:pBdr>
              <w:tabs>
                <w:tab w:val="left" w:pos="419"/>
              </w:tabs>
              <w:spacing w:after="120" w:line="360" w:lineRule="auto"/>
              <w:rPr>
                <w:rFonts w:ascii="Arial" w:eastAsia="Arial" w:hAnsi="Arial" w:cs="Arial"/>
                <w:sz w:val="20"/>
                <w:szCs w:val="20"/>
              </w:rPr>
            </w:pPr>
          </w:p>
        </w:tc>
        <w:tc>
          <w:tcPr>
            <w:tcW w:w="556" w:type="dxa"/>
          </w:tcPr>
          <w:p w14:paraId="6536D0AD"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3.1</w:t>
            </w:r>
          </w:p>
        </w:tc>
        <w:tc>
          <w:tcPr>
            <w:tcW w:w="5424" w:type="dxa"/>
          </w:tcPr>
          <w:p w14:paraId="02F0799B" w14:textId="77777777" w:rsidR="005A5A4D" w:rsidRDefault="00547C5C">
            <w:pPr>
              <w:pBdr>
                <w:top w:val="nil"/>
                <w:left w:val="nil"/>
                <w:bottom w:val="nil"/>
                <w:right w:val="nil"/>
                <w:between w:val="nil"/>
              </w:pBdr>
              <w:tabs>
                <w:tab w:val="left" w:pos="432"/>
                <w:tab w:val="left" w:pos="959"/>
              </w:tabs>
              <w:spacing w:after="120" w:line="360" w:lineRule="auto"/>
              <w:rPr>
                <w:rFonts w:ascii="Arial" w:eastAsia="Arial" w:hAnsi="Arial" w:cs="Arial"/>
                <w:sz w:val="20"/>
                <w:szCs w:val="20"/>
              </w:rPr>
            </w:pPr>
            <w:r>
              <w:rPr>
                <w:rFonts w:ascii="Arial" w:hAnsi="Arial"/>
                <w:sz w:val="20"/>
              </w:rPr>
              <w:t xml:space="preserve">Investment and development fund (Appropriate 10%/Profit after tax from production and business activity) </w:t>
            </w:r>
          </w:p>
        </w:tc>
        <w:tc>
          <w:tcPr>
            <w:tcW w:w="2374" w:type="dxa"/>
          </w:tcPr>
          <w:p w14:paraId="5E75F358"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1,275,663,416</w:t>
            </w:r>
          </w:p>
        </w:tc>
      </w:tr>
      <w:tr w:rsidR="005A5A4D" w14:paraId="631EF67E" w14:textId="77777777">
        <w:tc>
          <w:tcPr>
            <w:tcW w:w="665" w:type="dxa"/>
          </w:tcPr>
          <w:p w14:paraId="5C928287" w14:textId="77777777" w:rsidR="005A5A4D" w:rsidRDefault="005A5A4D">
            <w:pPr>
              <w:pBdr>
                <w:top w:val="nil"/>
                <w:left w:val="nil"/>
                <w:bottom w:val="nil"/>
                <w:right w:val="nil"/>
                <w:between w:val="nil"/>
              </w:pBdr>
              <w:tabs>
                <w:tab w:val="left" w:pos="419"/>
              </w:tabs>
              <w:spacing w:after="120" w:line="360" w:lineRule="auto"/>
              <w:rPr>
                <w:rFonts w:ascii="Arial" w:eastAsia="Arial" w:hAnsi="Arial" w:cs="Arial"/>
                <w:sz w:val="20"/>
                <w:szCs w:val="20"/>
              </w:rPr>
            </w:pPr>
          </w:p>
        </w:tc>
        <w:tc>
          <w:tcPr>
            <w:tcW w:w="556" w:type="dxa"/>
          </w:tcPr>
          <w:p w14:paraId="7BA666B5"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3.2</w:t>
            </w:r>
          </w:p>
        </w:tc>
        <w:tc>
          <w:tcPr>
            <w:tcW w:w="5424" w:type="dxa"/>
          </w:tcPr>
          <w:p w14:paraId="39BF1CA6" w14:textId="77777777" w:rsidR="005A5A4D" w:rsidRDefault="00547C5C">
            <w:pPr>
              <w:pBdr>
                <w:top w:val="nil"/>
                <w:left w:val="nil"/>
                <w:bottom w:val="nil"/>
                <w:right w:val="nil"/>
                <w:between w:val="nil"/>
              </w:pBdr>
              <w:tabs>
                <w:tab w:val="left" w:pos="432"/>
                <w:tab w:val="left" w:pos="959"/>
              </w:tabs>
              <w:spacing w:after="120" w:line="360" w:lineRule="auto"/>
              <w:rPr>
                <w:rFonts w:ascii="Arial" w:eastAsia="Arial" w:hAnsi="Arial" w:cs="Arial"/>
                <w:sz w:val="20"/>
                <w:szCs w:val="20"/>
              </w:rPr>
            </w:pPr>
            <w:r>
              <w:rPr>
                <w:rFonts w:ascii="Arial" w:hAnsi="Arial"/>
                <w:sz w:val="20"/>
              </w:rPr>
              <w:t>Bonus fund (Appropriate 2% / Profit after tax from production and business activity)</w:t>
            </w:r>
          </w:p>
        </w:tc>
        <w:tc>
          <w:tcPr>
            <w:tcW w:w="2374" w:type="dxa"/>
          </w:tcPr>
          <w:p w14:paraId="73BADF8C"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255,132,683</w:t>
            </w:r>
          </w:p>
        </w:tc>
      </w:tr>
      <w:tr w:rsidR="005A5A4D" w14:paraId="1F6A3302" w14:textId="77777777">
        <w:tc>
          <w:tcPr>
            <w:tcW w:w="665" w:type="dxa"/>
          </w:tcPr>
          <w:p w14:paraId="35E32AB2" w14:textId="77777777" w:rsidR="005A5A4D" w:rsidRDefault="005A5A4D">
            <w:pPr>
              <w:pBdr>
                <w:top w:val="nil"/>
                <w:left w:val="nil"/>
                <w:bottom w:val="nil"/>
                <w:right w:val="nil"/>
                <w:between w:val="nil"/>
              </w:pBdr>
              <w:tabs>
                <w:tab w:val="left" w:pos="419"/>
              </w:tabs>
              <w:spacing w:after="120" w:line="360" w:lineRule="auto"/>
              <w:rPr>
                <w:rFonts w:ascii="Arial" w:eastAsia="Arial" w:hAnsi="Arial" w:cs="Arial"/>
                <w:sz w:val="20"/>
                <w:szCs w:val="20"/>
              </w:rPr>
            </w:pPr>
          </w:p>
        </w:tc>
        <w:tc>
          <w:tcPr>
            <w:tcW w:w="556" w:type="dxa"/>
          </w:tcPr>
          <w:p w14:paraId="66E9D038"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3.3</w:t>
            </w:r>
          </w:p>
        </w:tc>
        <w:tc>
          <w:tcPr>
            <w:tcW w:w="5424" w:type="dxa"/>
          </w:tcPr>
          <w:p w14:paraId="32E5E137" w14:textId="77777777" w:rsidR="005A5A4D" w:rsidRDefault="00547C5C">
            <w:pPr>
              <w:pBdr>
                <w:top w:val="nil"/>
                <w:left w:val="nil"/>
                <w:bottom w:val="nil"/>
                <w:right w:val="nil"/>
                <w:between w:val="nil"/>
              </w:pBdr>
              <w:tabs>
                <w:tab w:val="left" w:pos="432"/>
                <w:tab w:val="left" w:pos="959"/>
              </w:tabs>
              <w:spacing w:after="120" w:line="360" w:lineRule="auto"/>
              <w:rPr>
                <w:rFonts w:ascii="Arial" w:eastAsia="Arial" w:hAnsi="Arial" w:cs="Arial"/>
                <w:sz w:val="20"/>
                <w:szCs w:val="20"/>
              </w:rPr>
            </w:pPr>
            <w:r>
              <w:rPr>
                <w:rFonts w:ascii="Arial" w:hAnsi="Arial"/>
                <w:sz w:val="20"/>
              </w:rPr>
              <w:t>Welfare fund (Appropriate 2% / Profit after tax from production and business activity)</w:t>
            </w:r>
          </w:p>
        </w:tc>
        <w:tc>
          <w:tcPr>
            <w:tcW w:w="2374" w:type="dxa"/>
          </w:tcPr>
          <w:p w14:paraId="37FDD1E6"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255,132,683</w:t>
            </w:r>
          </w:p>
        </w:tc>
      </w:tr>
      <w:tr w:rsidR="005A5A4D" w14:paraId="0CCC0212" w14:textId="77777777">
        <w:tc>
          <w:tcPr>
            <w:tcW w:w="665" w:type="dxa"/>
          </w:tcPr>
          <w:p w14:paraId="48338E05"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4</w:t>
            </w:r>
          </w:p>
        </w:tc>
        <w:tc>
          <w:tcPr>
            <w:tcW w:w="5980" w:type="dxa"/>
            <w:gridSpan w:val="2"/>
          </w:tcPr>
          <w:p w14:paraId="7CDC3BCA"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Dividend payment in 2023 in cash (10% / charter capital)</w:t>
            </w:r>
          </w:p>
        </w:tc>
        <w:tc>
          <w:tcPr>
            <w:tcW w:w="2374" w:type="dxa"/>
          </w:tcPr>
          <w:p w14:paraId="27EEBCC1"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9,492,200,000</w:t>
            </w:r>
          </w:p>
        </w:tc>
      </w:tr>
      <w:tr w:rsidR="005A5A4D" w14:paraId="4975C8AC" w14:textId="77777777">
        <w:tc>
          <w:tcPr>
            <w:tcW w:w="665" w:type="dxa"/>
          </w:tcPr>
          <w:p w14:paraId="09782ABC"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5</w:t>
            </w:r>
          </w:p>
        </w:tc>
        <w:tc>
          <w:tcPr>
            <w:tcW w:w="5980" w:type="dxa"/>
            <w:gridSpan w:val="2"/>
          </w:tcPr>
          <w:p w14:paraId="620C18A1"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Total profit distribution 2023</w:t>
            </w:r>
          </w:p>
        </w:tc>
        <w:tc>
          <w:tcPr>
            <w:tcW w:w="2374" w:type="dxa"/>
          </w:tcPr>
          <w:p w14:paraId="0519CA62"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11,278,128,782</w:t>
            </w:r>
          </w:p>
        </w:tc>
      </w:tr>
      <w:tr w:rsidR="005A5A4D" w14:paraId="466DA1BD" w14:textId="77777777">
        <w:tc>
          <w:tcPr>
            <w:tcW w:w="665" w:type="dxa"/>
          </w:tcPr>
          <w:p w14:paraId="46A05BBB"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6</w:t>
            </w:r>
          </w:p>
        </w:tc>
        <w:tc>
          <w:tcPr>
            <w:tcW w:w="5980" w:type="dxa"/>
            <w:gridSpan w:val="2"/>
          </w:tcPr>
          <w:p w14:paraId="10EBE855"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Remaining profit 2023:</w:t>
            </w:r>
          </w:p>
        </w:tc>
        <w:tc>
          <w:tcPr>
            <w:tcW w:w="2374" w:type="dxa"/>
          </w:tcPr>
          <w:p w14:paraId="453CBEB9"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1,478,505,377</w:t>
            </w:r>
          </w:p>
        </w:tc>
      </w:tr>
      <w:tr w:rsidR="005A5A4D" w14:paraId="00C68C3F" w14:textId="77777777">
        <w:tc>
          <w:tcPr>
            <w:tcW w:w="665" w:type="dxa"/>
          </w:tcPr>
          <w:p w14:paraId="76E2A407"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7</w:t>
            </w:r>
          </w:p>
        </w:tc>
        <w:tc>
          <w:tcPr>
            <w:tcW w:w="5980" w:type="dxa"/>
            <w:gridSpan w:val="2"/>
          </w:tcPr>
          <w:p w14:paraId="6FBB8E9C" w14:textId="77777777" w:rsidR="005A5A4D" w:rsidRDefault="00547C5C">
            <w:pPr>
              <w:pBdr>
                <w:top w:val="nil"/>
                <w:left w:val="nil"/>
                <w:bottom w:val="nil"/>
                <w:right w:val="nil"/>
                <w:between w:val="nil"/>
              </w:pBdr>
              <w:tabs>
                <w:tab w:val="left" w:pos="419"/>
              </w:tabs>
              <w:spacing w:after="120" w:line="360" w:lineRule="auto"/>
              <w:rPr>
                <w:rFonts w:ascii="Arial" w:eastAsia="Arial" w:hAnsi="Arial" w:cs="Arial"/>
                <w:sz w:val="20"/>
                <w:szCs w:val="20"/>
              </w:rPr>
            </w:pPr>
            <w:r>
              <w:rPr>
                <w:rFonts w:ascii="Arial" w:hAnsi="Arial"/>
                <w:sz w:val="20"/>
              </w:rPr>
              <w:t>Remaining undistributed profit after tax</w:t>
            </w:r>
          </w:p>
        </w:tc>
        <w:tc>
          <w:tcPr>
            <w:tcW w:w="2374" w:type="dxa"/>
          </w:tcPr>
          <w:p w14:paraId="095AF06F"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52,408,875,072</w:t>
            </w:r>
          </w:p>
        </w:tc>
      </w:tr>
    </w:tbl>
    <w:p w14:paraId="5BFF1005" w14:textId="77777777" w:rsidR="005A5A4D" w:rsidRDefault="00547C5C">
      <w:pPr>
        <w:pBdr>
          <w:top w:val="nil"/>
          <w:left w:val="nil"/>
          <w:bottom w:val="nil"/>
          <w:right w:val="nil"/>
          <w:between w:val="nil"/>
        </w:pBdr>
        <w:tabs>
          <w:tab w:val="left" w:pos="432"/>
        </w:tabs>
        <w:spacing w:after="120" w:line="360" w:lineRule="auto"/>
        <w:rPr>
          <w:rFonts w:ascii="Arial" w:eastAsia="Arial" w:hAnsi="Arial" w:cs="Arial"/>
          <w:sz w:val="20"/>
          <w:szCs w:val="20"/>
        </w:rPr>
      </w:pPr>
      <w:r>
        <w:rPr>
          <w:rFonts w:ascii="Arial" w:hAnsi="Arial"/>
          <w:sz w:val="20"/>
        </w:rPr>
        <w:t xml:space="preserve">Article 6: Approved the dividend payment plan for 2024: </w:t>
      </w:r>
    </w:p>
    <w:p w14:paraId="6316866D" w14:textId="77777777" w:rsidR="005A5A4D" w:rsidRDefault="00547C5C" w:rsidP="007B793E">
      <w:pPr>
        <w:numPr>
          <w:ilvl w:val="0"/>
          <w:numId w:val="2"/>
        </w:numPr>
        <w:pBdr>
          <w:top w:val="nil"/>
          <w:left w:val="nil"/>
          <w:bottom w:val="nil"/>
          <w:right w:val="nil"/>
          <w:between w:val="nil"/>
        </w:pBdr>
        <w:tabs>
          <w:tab w:val="left" w:pos="432"/>
          <w:tab w:val="left" w:pos="945"/>
          <w:tab w:val="left" w:pos="9883"/>
        </w:tabs>
        <w:spacing w:after="120" w:line="360" w:lineRule="auto"/>
        <w:jc w:val="both"/>
        <w:rPr>
          <w:rFonts w:ascii="Arial" w:eastAsia="Arial" w:hAnsi="Arial" w:cs="Arial"/>
          <w:sz w:val="20"/>
          <w:szCs w:val="20"/>
        </w:rPr>
      </w:pPr>
      <w:r>
        <w:rPr>
          <w:rFonts w:ascii="Arial" w:hAnsi="Arial"/>
          <w:sz w:val="20"/>
        </w:rPr>
        <w:t>The dividend payment level in 2024 is: 10% /charter capital</w:t>
      </w:r>
    </w:p>
    <w:p w14:paraId="722FFD81" w14:textId="77777777" w:rsidR="005A5A4D" w:rsidRDefault="00547C5C" w:rsidP="007B793E">
      <w:pPr>
        <w:numPr>
          <w:ilvl w:val="0"/>
          <w:numId w:val="2"/>
        </w:numPr>
        <w:pBdr>
          <w:top w:val="nil"/>
          <w:left w:val="nil"/>
          <w:bottom w:val="nil"/>
          <w:right w:val="nil"/>
          <w:between w:val="nil"/>
        </w:pBdr>
        <w:tabs>
          <w:tab w:val="left" w:pos="432"/>
          <w:tab w:val="left" w:pos="949"/>
        </w:tabs>
        <w:spacing w:after="120" w:line="360" w:lineRule="auto"/>
        <w:jc w:val="both"/>
        <w:rPr>
          <w:rFonts w:ascii="Arial" w:eastAsia="Arial" w:hAnsi="Arial" w:cs="Arial"/>
          <w:sz w:val="20"/>
          <w:szCs w:val="20"/>
        </w:rPr>
      </w:pPr>
      <w:r>
        <w:rPr>
          <w:rFonts w:ascii="Arial" w:hAnsi="Arial"/>
          <w:sz w:val="20"/>
        </w:rPr>
        <w:t xml:space="preserve">Based on the semi-annual Financial Statements and results of production and business activities, the General Meeting of Shareholders authorized the Board of Directors of Hai </w:t>
      </w:r>
      <w:proofErr w:type="spellStart"/>
      <w:r>
        <w:rPr>
          <w:rFonts w:ascii="Arial" w:hAnsi="Arial"/>
          <w:sz w:val="20"/>
        </w:rPr>
        <w:t>Phong</w:t>
      </w:r>
      <w:proofErr w:type="spellEnd"/>
      <w:r>
        <w:rPr>
          <w:rFonts w:ascii="Arial" w:hAnsi="Arial"/>
          <w:sz w:val="20"/>
        </w:rPr>
        <w:t xml:space="preserve"> Electrical Mechanical JSC to decide on the level of advance payment for dividends in 2024.</w:t>
      </w:r>
    </w:p>
    <w:p w14:paraId="361D2C02" w14:textId="77777777" w:rsidR="005A5A4D" w:rsidRDefault="00547C5C" w:rsidP="007B793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7: Approve the selection of audit companies for Financial Statements 2024 and assessing the semi-annual Financial Statements. </w:t>
      </w:r>
    </w:p>
    <w:p w14:paraId="182E232B" w14:textId="77777777" w:rsidR="005A5A4D" w:rsidRDefault="00547C5C" w:rsidP="007B793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8: Approve Proposal on investment plan for production and business activity 2024. </w:t>
      </w:r>
    </w:p>
    <w:p w14:paraId="3D07E550" w14:textId="77777777" w:rsidR="005A5A4D" w:rsidRDefault="00547C5C" w:rsidP="007B793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Investment for production and business activity in 2024 according to the Investment report 2023 and investment direction 2024 of the Company's Board of Directors. </w:t>
      </w:r>
    </w:p>
    <w:p w14:paraId="72F50CD8" w14:textId="77777777" w:rsidR="005A5A4D" w:rsidRDefault="00547C5C" w:rsidP="007B793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For investment items equal to or greater than 35% of the total value of assets recorded in the Company's most recent Financial Statements, the Board of Directors will seek shareholders' opinions in written documents or approval at the Extraordinary General Meeting. </w:t>
      </w:r>
    </w:p>
    <w:p w14:paraId="3DFAB20E" w14:textId="77777777" w:rsidR="005A5A4D" w:rsidRDefault="00547C5C" w:rsidP="007B793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10: Terms of enforcement: This resolution has been approved by the General Meeting of Shareholders and takes effect from 10:45 a.m. on April 26, 2024. </w:t>
      </w:r>
    </w:p>
    <w:p w14:paraId="558D9907" w14:textId="77777777" w:rsidR="005A5A4D" w:rsidRDefault="00547C5C" w:rsidP="007B793E">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The Board of Directors of Hai </w:t>
      </w:r>
      <w:proofErr w:type="spellStart"/>
      <w:r>
        <w:rPr>
          <w:rFonts w:ascii="Arial" w:hAnsi="Arial"/>
          <w:sz w:val="20"/>
        </w:rPr>
        <w:t>Phong</w:t>
      </w:r>
      <w:proofErr w:type="spellEnd"/>
      <w:r>
        <w:rPr>
          <w:rFonts w:ascii="Arial" w:hAnsi="Arial"/>
          <w:sz w:val="20"/>
        </w:rPr>
        <w:t xml:space="preserve"> Electrical Mechanical JSC, the Board of Management and affiliated persons are responsible for implementing the tasks assigned by the General Meeting of Shareholders in this Resolution. Ensure the benefits of Shareholders, the Company and comply with the provisions of the Law.</w:t>
      </w:r>
      <w:bookmarkStart w:id="0" w:name="_GoBack"/>
      <w:bookmarkEnd w:id="0"/>
    </w:p>
    <w:sectPr w:rsidR="005A5A4D">
      <w:pgSz w:w="11909" w:h="16840"/>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093D"/>
    <w:multiLevelType w:val="multilevel"/>
    <w:tmpl w:val="3D62361C"/>
    <w:lvl w:ilvl="0">
      <w:start w:val="1"/>
      <w:numFmt w:val="decimal"/>
      <w:lvlText w:val="%1."/>
      <w:lvlJc w:val="left"/>
      <w:pPr>
        <w:ind w:left="634" w:hanging="360"/>
      </w:pPr>
      <w:rPr>
        <w:rFonts w:ascii="Arial" w:eastAsia="Arial" w:hAnsi="Arial" w:cs="Arial"/>
        <w:b w:val="0"/>
        <w:i w:val="0"/>
        <w:sz w:val="20"/>
        <w:szCs w:val="20"/>
        <w:u w:val="none"/>
      </w:rPr>
    </w:lvl>
    <w:lvl w:ilvl="1">
      <w:start w:val="1"/>
      <w:numFmt w:val="lowerLetter"/>
      <w:lvlText w:val="%2."/>
      <w:lvlJc w:val="left"/>
      <w:pPr>
        <w:ind w:left="1354" w:hanging="360"/>
      </w:pPr>
      <w:rPr>
        <w:rFonts w:ascii="Arial" w:eastAsia="Arial" w:hAnsi="Arial" w:cs="Arial"/>
        <w:b w:val="0"/>
        <w:i w:val="0"/>
        <w:sz w:val="20"/>
        <w:szCs w:val="20"/>
      </w:rPr>
    </w:lvl>
    <w:lvl w:ilvl="2">
      <w:start w:val="1"/>
      <w:numFmt w:val="lowerRoman"/>
      <w:lvlText w:val="%3."/>
      <w:lvlJc w:val="right"/>
      <w:pPr>
        <w:ind w:left="2074" w:hanging="180"/>
      </w:pPr>
      <w:rPr>
        <w:rFonts w:ascii="Arial" w:eastAsia="Arial" w:hAnsi="Arial" w:cs="Arial"/>
        <w:b w:val="0"/>
        <w:i w:val="0"/>
        <w:sz w:val="20"/>
        <w:szCs w:val="20"/>
      </w:rPr>
    </w:lvl>
    <w:lvl w:ilvl="3">
      <w:start w:val="1"/>
      <w:numFmt w:val="decimal"/>
      <w:lvlText w:val="%4."/>
      <w:lvlJc w:val="left"/>
      <w:pPr>
        <w:ind w:left="2794" w:hanging="360"/>
      </w:pPr>
    </w:lvl>
    <w:lvl w:ilvl="4">
      <w:start w:val="1"/>
      <w:numFmt w:val="lowerLetter"/>
      <w:lvlText w:val="%5."/>
      <w:lvlJc w:val="left"/>
      <w:pPr>
        <w:ind w:left="3514" w:hanging="360"/>
      </w:pPr>
    </w:lvl>
    <w:lvl w:ilvl="5">
      <w:start w:val="1"/>
      <w:numFmt w:val="lowerRoman"/>
      <w:lvlText w:val="%6."/>
      <w:lvlJc w:val="right"/>
      <w:pPr>
        <w:ind w:left="4234" w:hanging="180"/>
      </w:pPr>
    </w:lvl>
    <w:lvl w:ilvl="6">
      <w:start w:val="1"/>
      <w:numFmt w:val="decimal"/>
      <w:lvlText w:val="%7."/>
      <w:lvlJc w:val="left"/>
      <w:pPr>
        <w:ind w:left="4954" w:hanging="360"/>
      </w:pPr>
    </w:lvl>
    <w:lvl w:ilvl="7">
      <w:start w:val="1"/>
      <w:numFmt w:val="lowerLetter"/>
      <w:lvlText w:val="%8."/>
      <w:lvlJc w:val="left"/>
      <w:pPr>
        <w:ind w:left="5674" w:hanging="360"/>
      </w:pPr>
    </w:lvl>
    <w:lvl w:ilvl="8">
      <w:start w:val="1"/>
      <w:numFmt w:val="lowerRoman"/>
      <w:lvlText w:val="%9."/>
      <w:lvlJc w:val="right"/>
      <w:pPr>
        <w:ind w:left="6394" w:hanging="180"/>
      </w:pPr>
    </w:lvl>
  </w:abstractNum>
  <w:abstractNum w:abstractNumId="1" w15:restartNumberingAfterBreak="0">
    <w:nsid w:val="148E44B3"/>
    <w:multiLevelType w:val="multilevel"/>
    <w:tmpl w:val="947CE8F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4D"/>
    <w:rsid w:val="00547C5C"/>
    <w:rsid w:val="005A5A4D"/>
    <w:rsid w:val="007B793E"/>
    <w:rsid w:val="00BC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39A4"/>
  <w15:docId w15:val="{21BF7125-4A1F-4CC8-AFE2-D2AB4FCB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3"/>
      <w:szCs w:val="13"/>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singl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CC0C22"/>
      <w:w w:val="80"/>
      <w:sz w:val="20"/>
      <w:szCs w:val="20"/>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color w:val="CC0C22"/>
      <w:sz w:val="15"/>
      <w:szCs w:val="15"/>
      <w:u w:val="single"/>
      <w:shd w:val="clear" w:color="auto" w:fill="auto"/>
    </w:rPr>
  </w:style>
  <w:style w:type="paragraph" w:styleId="BodyText">
    <w:name w:val="Body Text"/>
    <w:basedOn w:val="Normal"/>
    <w:link w:val="BodyTextChar"/>
    <w:qFormat/>
    <w:pPr>
      <w:spacing w:line="343" w:lineRule="auto"/>
      <w:ind w:firstLine="230"/>
    </w:pPr>
    <w:rPr>
      <w:rFonts w:ascii="Times New Roman" w:eastAsia="Times New Roman" w:hAnsi="Times New Roman" w:cs="Times New Roman"/>
      <w:i/>
      <w:iCs/>
    </w:rPr>
  </w:style>
  <w:style w:type="paragraph" w:customStyle="1" w:styleId="Bodytext40">
    <w:name w:val="Body text (4)"/>
    <w:basedOn w:val="Normal"/>
    <w:link w:val="Bodytext4"/>
    <w:pPr>
      <w:spacing w:line="298" w:lineRule="auto"/>
    </w:pPr>
    <w:rPr>
      <w:rFonts w:ascii="Arial" w:eastAsia="Arial" w:hAnsi="Arial" w:cs="Arial"/>
      <w:sz w:val="13"/>
      <w:szCs w:val="13"/>
    </w:rPr>
  </w:style>
  <w:style w:type="paragraph" w:customStyle="1" w:styleId="Heading11">
    <w:name w:val="Heading #1"/>
    <w:basedOn w:val="Normal"/>
    <w:link w:val="Heading10"/>
    <w:pPr>
      <w:spacing w:line="230" w:lineRule="auto"/>
      <w:outlineLvl w:val="0"/>
    </w:pPr>
    <w:rPr>
      <w:rFonts w:ascii="Times New Roman" w:eastAsia="Times New Roman" w:hAnsi="Times New Roman" w:cs="Times New Roman"/>
      <w:b/>
      <w:bCs/>
      <w:sz w:val="28"/>
      <w:szCs w:val="28"/>
    </w:rPr>
  </w:style>
  <w:style w:type="paragraph" w:customStyle="1" w:styleId="Tablecaption0">
    <w:name w:val="Table caption"/>
    <w:basedOn w:val="Normal"/>
    <w:link w:val="Tablecaption"/>
    <w:rPr>
      <w:rFonts w:ascii="Times New Roman" w:eastAsia="Times New Roman" w:hAnsi="Times New Roman" w:cs="Times New Roman"/>
      <w:u w:val="single"/>
    </w:rPr>
  </w:style>
  <w:style w:type="paragraph" w:customStyle="1" w:styleId="Other0">
    <w:name w:val="Other"/>
    <w:basedOn w:val="Normal"/>
    <w:link w:val="Other"/>
    <w:pPr>
      <w:spacing w:line="343" w:lineRule="auto"/>
      <w:ind w:firstLine="230"/>
    </w:pPr>
    <w:rPr>
      <w:rFonts w:ascii="Times New Roman" w:eastAsia="Times New Roman" w:hAnsi="Times New Roman" w:cs="Times New Roman"/>
      <w:i/>
      <w:iCs/>
    </w:rPr>
  </w:style>
  <w:style w:type="paragraph" w:customStyle="1" w:styleId="Bodytext20">
    <w:name w:val="Body text (2)"/>
    <w:basedOn w:val="Normal"/>
    <w:link w:val="Bodytext2"/>
    <w:pPr>
      <w:spacing w:line="271" w:lineRule="auto"/>
      <w:ind w:firstLine="270"/>
    </w:pPr>
    <w:rPr>
      <w:rFonts w:ascii="Times New Roman" w:eastAsia="Times New Roman" w:hAnsi="Times New Roman" w:cs="Times New Roman"/>
      <w:i/>
      <w:iCs/>
      <w:sz w:val="20"/>
      <w:szCs w:val="20"/>
    </w:rPr>
  </w:style>
  <w:style w:type="paragraph" w:customStyle="1" w:styleId="Bodytext30">
    <w:name w:val="Body text (3)"/>
    <w:basedOn w:val="Normal"/>
    <w:link w:val="Bodytext3"/>
    <w:pPr>
      <w:spacing w:line="274" w:lineRule="auto"/>
      <w:ind w:left="990"/>
      <w:jc w:val="right"/>
    </w:pPr>
    <w:rPr>
      <w:rFonts w:ascii="Arial" w:eastAsia="Arial" w:hAnsi="Arial" w:cs="Arial"/>
      <w:color w:val="CC0C22"/>
      <w:w w:val="80"/>
      <w:sz w:val="20"/>
      <w:szCs w:val="20"/>
    </w:rPr>
  </w:style>
  <w:style w:type="paragraph" w:customStyle="1" w:styleId="Bodytext50">
    <w:name w:val="Body text (5)"/>
    <w:basedOn w:val="Normal"/>
    <w:link w:val="Bodytext5"/>
    <w:pPr>
      <w:jc w:val="center"/>
    </w:pPr>
    <w:rPr>
      <w:rFonts w:ascii="Times New Roman" w:eastAsia="Times New Roman" w:hAnsi="Times New Roman" w:cs="Times New Roman"/>
      <w:b/>
      <w:bCs/>
      <w:color w:val="CC0C22"/>
      <w:sz w:val="15"/>
      <w:szCs w:val="15"/>
      <w:u w:val="single"/>
    </w:rPr>
  </w:style>
  <w:style w:type="table" w:styleId="TableGrid">
    <w:name w:val="Table Grid"/>
    <w:basedOn w:val="TableNormal"/>
    <w:uiPriority w:val="39"/>
    <w:rsid w:val="001B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aX3tWsoOIxgZkR8fwxHwsjxVw==">CgMxLjA4AHIhMW5PbmFTQmV2TFVHTlFrSXVMZG04RV9oTXVzMVlld25W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2024-05-07T03:31:00Z</dcterms:created>
  <dcterms:modified xsi:type="dcterms:W3CDTF">2024-05-08T04:19:00Z</dcterms:modified>
</cp:coreProperties>
</file>