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788B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DHT: Annual General Mandate 2024</w:t>
      </w:r>
    </w:p>
    <w:p w14:paraId="307D2166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On April 29, 2024, </w:t>
      </w:r>
      <w:proofErr w:type="spellStart"/>
      <w:r>
        <w:rPr>
          <w:rFonts w:ascii="Arial" w:hAnsi="Arial"/>
          <w:sz w:val="20"/>
        </w:rPr>
        <w:t>HaTay</w:t>
      </w:r>
      <w:proofErr w:type="spellEnd"/>
      <w:r>
        <w:rPr>
          <w:rFonts w:ascii="Arial" w:hAnsi="Arial"/>
          <w:sz w:val="20"/>
        </w:rPr>
        <w:t xml:space="preserve"> Pharmaceutical JSC announced General Mandate No. 356/NQ-DHT as follows:</w:t>
      </w:r>
    </w:p>
    <w:p w14:paraId="4B7702AC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Article 1. Approve the Board of Directors' Report on production and business results in 2023 and plan for 2024</w:t>
      </w:r>
    </w:p>
    <w:p w14:paraId="2FAE584D" w14:textId="77777777" w:rsidR="0056463B" w:rsidRDefault="005C54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Results of production and business activities in 2023:</w:t>
      </w:r>
    </w:p>
    <w:tbl>
      <w:tblPr>
        <w:tblStyle w:val="a"/>
        <w:tblW w:w="9019" w:type="dxa"/>
        <w:tblLayout w:type="fixed"/>
        <w:tblLook w:val="0000" w:firstRow="0" w:lastRow="0" w:firstColumn="0" w:lastColumn="0" w:noHBand="0" w:noVBand="0"/>
      </w:tblPr>
      <w:tblGrid>
        <w:gridCol w:w="683"/>
        <w:gridCol w:w="2795"/>
        <w:gridCol w:w="947"/>
        <w:gridCol w:w="1212"/>
        <w:gridCol w:w="1270"/>
        <w:gridCol w:w="2112"/>
      </w:tblGrid>
      <w:tr w:rsidR="0056463B" w14:paraId="1AF5F64B" w14:textId="77777777">
        <w:trPr>
          <w:trHeight w:val="94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7E575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E893F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Targets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88261B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Unit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ECBA7F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Plan 2023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0BB795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Results 2023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14:paraId="132C062F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Results 2023/Plan 2023 (%)</w:t>
            </w:r>
          </w:p>
        </w:tc>
      </w:tr>
      <w:tr w:rsidR="0056463B" w14:paraId="6D91FEFA" w14:textId="77777777">
        <w:trPr>
          <w:trHeight w:val="50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F65E1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84265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revenue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C0BCB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1486C9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1,600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583796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1,916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D44618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119.75%</w:t>
            </w:r>
          </w:p>
        </w:tc>
      </w:tr>
      <w:tr w:rsidR="0056463B" w14:paraId="02D662D0" w14:textId="77777777">
        <w:trPr>
          <w:trHeight w:val="51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EFAB1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845FC3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Revenue from manufactured goods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5A88B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3BBC43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545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B1F97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644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6BCC4CB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118.17%</w:t>
            </w:r>
          </w:p>
        </w:tc>
      </w:tr>
      <w:tr w:rsidR="0056463B" w14:paraId="66553E50" w14:textId="77777777">
        <w:trPr>
          <w:trHeight w:val="7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99687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14:paraId="194A02E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Revenue from trading in imported finished products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75DA4E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8BA44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875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2A35B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1090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45CC74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124.57%</w:t>
            </w:r>
          </w:p>
        </w:tc>
      </w:tr>
      <w:tr w:rsidR="0056463B" w14:paraId="3E7E67F6" w14:textId="77777777">
        <w:trPr>
          <w:trHeight w:val="4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446F42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6D1BE8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Profit before tax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D46089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8825A8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199F9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98.58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0BF338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123.22%</w:t>
            </w:r>
          </w:p>
        </w:tc>
      </w:tr>
      <w:tr w:rsidR="0056463B" w14:paraId="4A092B40" w14:textId="77777777">
        <w:trPr>
          <w:trHeight w:val="4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2672030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4A806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Cash dividends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2D5E70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%/year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8CD92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73D80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6327D99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100.00%</w:t>
            </w:r>
          </w:p>
        </w:tc>
      </w:tr>
      <w:tr w:rsidR="0056463B" w14:paraId="0968DE93" w14:textId="77777777">
        <w:trPr>
          <w:trHeight w:val="64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CD19D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64C33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Average income/person/month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14:paraId="0BA1EFB9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E763E68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45107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14.533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994B822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281B5D41" w14:textId="77777777">
        <w:trPr>
          <w:trHeight w:val="5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2F684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C0FC9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Payable to the State budget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A7ADB5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BFEC11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2D036EB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99.541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D7C132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126% of the same period</w:t>
            </w:r>
          </w:p>
        </w:tc>
      </w:tr>
    </w:tbl>
    <w:p w14:paraId="3CD54208" w14:textId="77777777" w:rsidR="0056463B" w:rsidRDefault="005C54E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Production and business plan for 2024:</w:t>
      </w:r>
    </w:p>
    <w:tbl>
      <w:tblPr>
        <w:tblStyle w:val="a0"/>
        <w:tblW w:w="9019" w:type="dxa"/>
        <w:tblLayout w:type="fixed"/>
        <w:tblLook w:val="0000" w:firstRow="0" w:lastRow="0" w:firstColumn="0" w:lastColumn="0" w:noHBand="0" w:noVBand="0"/>
      </w:tblPr>
      <w:tblGrid>
        <w:gridCol w:w="676"/>
        <w:gridCol w:w="3182"/>
        <w:gridCol w:w="1472"/>
        <w:gridCol w:w="2284"/>
        <w:gridCol w:w="1405"/>
      </w:tblGrid>
      <w:tr w:rsidR="0056463B" w14:paraId="30F2A884" w14:textId="77777777">
        <w:trPr>
          <w:trHeight w:val="6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53085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872FC5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Targets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478B8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Unit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C129BD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Plan 2024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26B1433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Notes</w:t>
            </w:r>
          </w:p>
        </w:tc>
      </w:tr>
      <w:tr w:rsidR="0056463B" w14:paraId="35536E23" w14:textId="77777777">
        <w:trPr>
          <w:trHeight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37AE70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2BDA66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revenue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66617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B69124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1,769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CEAC34E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2552F05D" w14:textId="77777777">
        <w:trPr>
          <w:trHeight w:val="6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B516A5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32A14B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Revenue from manufactured goods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627C8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514A46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697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9B2E7A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6506E623" w14:textId="77777777">
        <w:trPr>
          <w:trHeight w:val="64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DBE4C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14:paraId="03E524C1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Revenue from trading in imported finished products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8BFADE6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7F035B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B099BD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28D6F95A" w14:textId="77777777">
        <w:trPr>
          <w:trHeight w:val="5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4B7BDEE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FE3EE9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Profit before tax*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C03640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EE2BA2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78.5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B0CE5C1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70D64AE3" w14:textId="77777777">
        <w:trPr>
          <w:trHeight w:val="56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28BC2C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7C7D2F3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Cash dividends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F4B4D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%/year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CB03B7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45A21F9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463B" w14:paraId="39D63818" w14:textId="77777777">
        <w:trPr>
          <w:trHeight w:val="6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03D9D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C975E8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Payable to the State budget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9BD2CD5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96DC26A" w14:textId="77777777" w:rsidR="0056463B" w:rsidRDefault="005C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Equivalent to arising </w:t>
            </w:r>
            <w:r>
              <w:rPr>
                <w:rFonts w:ascii="Arial" w:hAnsi="Arial"/>
                <w:sz w:val="20"/>
              </w:rPr>
              <w:lastRenderedPageBreak/>
              <w:t>amount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2C850F2" w14:textId="77777777" w:rsidR="0056463B" w:rsidRDefault="0056463B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32C4F0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* The Profit before tax target is built with the assumption that depreciation costs and research and development costs of the </w:t>
      </w:r>
      <w:proofErr w:type="spellStart"/>
      <w:r>
        <w:rPr>
          <w:rFonts w:ascii="Arial" w:hAnsi="Arial"/>
          <w:sz w:val="20"/>
        </w:rPr>
        <w:t>Hataphar</w:t>
      </w:r>
      <w:proofErr w:type="spellEnd"/>
      <w:r>
        <w:rPr>
          <w:rFonts w:ascii="Arial" w:hAnsi="Arial"/>
          <w:sz w:val="20"/>
        </w:rPr>
        <w:t xml:space="preserve"> CNC Factory project have not been recorded in 2024. In case these expenses are recognized, the Profit Before Tax target will be adjusted accordingly.</w:t>
      </w:r>
    </w:p>
    <w:p w14:paraId="38BA0B52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Article 2. Approve the Report on supervision and inspection activities for the Financial Statements 2023 and plan for 2024 of the Supervisory Board </w:t>
      </w:r>
    </w:p>
    <w:p w14:paraId="5451245A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Article 3. Approve the Audited Financial Statements 2023 </w:t>
      </w:r>
    </w:p>
    <w:p w14:paraId="47EC692F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Article 4. Approve the Profit Distribution Plan 2023 </w:t>
      </w:r>
    </w:p>
    <w:p w14:paraId="538C1DC5" w14:textId="77777777" w:rsidR="0056463B" w:rsidRDefault="005C54EE" w:rsidP="005F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3"/>
          <w:tab w:val="left" w:pos="617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Total profit realized: VND 98,584,263,188</w:t>
      </w:r>
    </w:p>
    <w:p w14:paraId="415EE569" w14:textId="77777777" w:rsidR="0056463B" w:rsidRDefault="005C54EE" w:rsidP="005F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  <w:tab w:val="left" w:pos="617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Corporate income tax payable: VND 19,271,058,296</w:t>
      </w:r>
    </w:p>
    <w:p w14:paraId="7093B4A0" w14:textId="439CD8CE" w:rsidR="0056463B" w:rsidRDefault="005C54EE" w:rsidP="005F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  <w:tab w:val="left" w:pos="617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Distributed profits: VND 79,313,204,892</w:t>
      </w:r>
    </w:p>
    <w:p w14:paraId="6D8542E7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 which:</w:t>
      </w:r>
    </w:p>
    <w:p w14:paraId="2C647D99" w14:textId="77777777" w:rsidR="0056463B" w:rsidRDefault="005C54EE" w:rsidP="005F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Bonus Fund (5%): VND 0</w:t>
      </w:r>
    </w:p>
    <w:p w14:paraId="26331CCB" w14:textId="77777777" w:rsidR="0056463B" w:rsidRDefault="005C54EE" w:rsidP="005F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Welfare fund (2%): VND 0</w:t>
      </w:r>
    </w:p>
    <w:p w14:paraId="11E452CB" w14:textId="77777777" w:rsidR="0056463B" w:rsidRDefault="005C54EE" w:rsidP="005F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 for dividend payment is 5% of charter capital (5% was prepaid in 2023): VND 41,170,130,000</w:t>
      </w:r>
    </w:p>
    <w:p w14:paraId="7F48EE50" w14:textId="77777777" w:rsidR="0056463B" w:rsidRDefault="005C54EE" w:rsidP="005F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Retained profit: VND 38,143,074,892</w:t>
      </w:r>
    </w:p>
    <w:p w14:paraId="2BEB7896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Article 5. Approve the Remuneration Plan for the Board of Directors and the Supervisory Board in 2024 </w:t>
      </w:r>
    </w:p>
    <w:p w14:paraId="037DE059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Article 6. Approve the authorization for the Board of Directors to select an audit company for 2024 and review semi-annual Financial Statements </w:t>
      </w:r>
    </w:p>
    <w:p w14:paraId="0F145F3F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Article 7. Terms of enforcement</w:t>
      </w:r>
    </w:p>
    <w:p w14:paraId="1B96AE1C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This General Mandate is approved by the General Meeting of Shareholders and takes effect on April 29, 2024.</w:t>
      </w:r>
    </w:p>
    <w:p w14:paraId="7EA220D0" w14:textId="77777777" w:rsidR="0056463B" w:rsidRDefault="005C54EE" w:rsidP="005F35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The Board of Directors of </w:t>
      </w:r>
      <w:proofErr w:type="spellStart"/>
      <w:r>
        <w:rPr>
          <w:rFonts w:ascii="Arial" w:hAnsi="Arial"/>
          <w:sz w:val="20"/>
        </w:rPr>
        <w:t>HaTay</w:t>
      </w:r>
      <w:proofErr w:type="spellEnd"/>
      <w:r>
        <w:rPr>
          <w:rFonts w:ascii="Arial" w:hAnsi="Arial"/>
          <w:sz w:val="20"/>
        </w:rPr>
        <w:t xml:space="preserve"> Pharmaceutical JSC, the Board of Management and relevant departments and units are responsible for imple</w:t>
      </w:r>
      <w:bookmarkStart w:id="0" w:name="_GoBack"/>
      <w:bookmarkEnd w:id="0"/>
      <w:r>
        <w:rPr>
          <w:rFonts w:ascii="Arial" w:hAnsi="Arial"/>
          <w:sz w:val="20"/>
        </w:rPr>
        <w:t>menting this General Mandate, ensuring the interests of shareholders and the Company and compliance with the provisions of law.</w:t>
      </w:r>
    </w:p>
    <w:sectPr w:rsidR="0056463B">
      <w:pgSz w:w="11909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CC8"/>
    <w:multiLevelType w:val="multilevel"/>
    <w:tmpl w:val="29C2514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CB01A5"/>
    <w:multiLevelType w:val="multilevel"/>
    <w:tmpl w:val="85A216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B"/>
    <w:rsid w:val="0056463B"/>
    <w:rsid w:val="005C54EE"/>
    <w:rsid w:val="005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ABE"/>
  <w15:docId w15:val="{6359ECA1-68A4-4295-80D8-6FE03496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769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76" w:lineRule="auto"/>
      <w:ind w:firstLine="700"/>
    </w:pPr>
    <w:rPr>
      <w:rFonts w:ascii="Times New Roman" w:eastAsia="Times New Roman" w:hAnsi="Times New Roman" w:cs="Times New Roman"/>
      <w:color w:val="646769"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30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68"/>
      <w:szCs w:val="6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sz w:val="8"/>
      <w:szCs w:val="8"/>
    </w:rPr>
  </w:style>
  <w:style w:type="paragraph" w:customStyle="1" w:styleId="Other0">
    <w:name w:val="Other"/>
    <w:basedOn w:val="Normal"/>
    <w:link w:val="Other"/>
    <w:pPr>
      <w:spacing w:line="30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ZNFTurjxv0vSL/tpVEnaG3VRA==">CgMxLjA4AHIhMWdjXzdPdERDTWg1NnI1MERVa2gzQWtWOVlpa1A3Y0dL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2024-05-07T03:58:00Z</dcterms:created>
  <dcterms:modified xsi:type="dcterms:W3CDTF">2024-05-08T04:19:00Z</dcterms:modified>
</cp:coreProperties>
</file>