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67175" w:rsidRPr="00AA2D57" w:rsidRDefault="00AA2D57" w:rsidP="00AA2D57">
      <w:pPr>
        <w:tabs>
          <w:tab w:val="left" w:pos="432"/>
        </w:tabs>
        <w:spacing w:after="120" w:line="360" w:lineRule="auto"/>
        <w:rPr>
          <w:rFonts w:ascii="Arial" w:eastAsia="Arial" w:hAnsi="Arial" w:cs="Arial"/>
          <w:b/>
          <w:color w:val="010000"/>
          <w:sz w:val="20"/>
          <w:szCs w:val="20"/>
        </w:rPr>
      </w:pPr>
      <w:r>
        <w:rPr>
          <w:rFonts w:ascii="Arial" w:hAnsi="Arial"/>
          <w:b/>
          <w:color w:val="010000"/>
          <w:sz w:val="20"/>
        </w:rPr>
        <w:t>DKC: Annual General Mandate 2024</w:t>
      </w:r>
    </w:p>
    <w:p w14:paraId="00000002" w14:textId="08D60B41" w:rsidR="00367175" w:rsidRPr="00AA2D57" w:rsidRDefault="00AA2D57" w:rsidP="00AA2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April 26, 2024, Lang Son Market Joint Stock Company announced General Mandate No. 115/NQ-HDQT as follows: </w:t>
      </w:r>
    </w:p>
    <w:p w14:paraId="00000003" w14:textId="77777777" w:rsidR="00367175" w:rsidRPr="00AA2D57" w:rsidRDefault="00AA2D57" w:rsidP="00AA2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 Approve Reports of the General Meeting including:</w:t>
      </w:r>
    </w:p>
    <w:p w14:paraId="00000004" w14:textId="77777777" w:rsidR="00367175" w:rsidRPr="00AA2D57" w:rsidRDefault="00AA2D57" w:rsidP="00AA2D57">
      <w:pPr>
        <w:numPr>
          <w:ilvl w:val="0"/>
          <w:numId w:val="5"/>
        </w:numPr>
        <w:pBdr>
          <w:top w:val="nil"/>
          <w:left w:val="nil"/>
          <w:bottom w:val="nil"/>
          <w:right w:val="nil"/>
          <w:between w:val="nil"/>
        </w:pBdr>
        <w:tabs>
          <w:tab w:val="left" w:pos="432"/>
          <w:tab w:val="left" w:pos="1054"/>
        </w:tabs>
        <w:spacing w:after="120" w:line="360" w:lineRule="auto"/>
        <w:rPr>
          <w:rFonts w:ascii="Arial" w:eastAsia="Arial" w:hAnsi="Arial" w:cs="Arial"/>
          <w:color w:val="010000"/>
          <w:sz w:val="20"/>
          <w:szCs w:val="20"/>
        </w:rPr>
      </w:pPr>
      <w:r>
        <w:rPr>
          <w:rFonts w:ascii="Arial" w:hAnsi="Arial"/>
          <w:color w:val="010000"/>
          <w:sz w:val="20"/>
        </w:rPr>
        <w:t>Report on the production and business activities in 2023 and the production and business plan for 2024;</w:t>
      </w:r>
    </w:p>
    <w:p w14:paraId="00000005" w14:textId="77777777" w:rsidR="00367175" w:rsidRPr="00AA2D57" w:rsidRDefault="00AA2D57" w:rsidP="00AA2D57">
      <w:pPr>
        <w:numPr>
          <w:ilvl w:val="0"/>
          <w:numId w:val="5"/>
        </w:numPr>
        <w:pBdr>
          <w:top w:val="nil"/>
          <w:left w:val="nil"/>
          <w:bottom w:val="nil"/>
          <w:right w:val="nil"/>
          <w:between w:val="nil"/>
        </w:pBdr>
        <w:tabs>
          <w:tab w:val="left" w:pos="432"/>
          <w:tab w:val="left" w:pos="953"/>
        </w:tabs>
        <w:spacing w:after="120" w:line="360" w:lineRule="auto"/>
        <w:rPr>
          <w:rFonts w:ascii="Arial" w:eastAsia="Arial" w:hAnsi="Arial" w:cs="Arial"/>
          <w:color w:val="010000"/>
          <w:sz w:val="20"/>
          <w:szCs w:val="20"/>
        </w:rPr>
      </w:pPr>
      <w:r>
        <w:rPr>
          <w:rFonts w:ascii="Arial" w:hAnsi="Arial"/>
          <w:color w:val="010000"/>
          <w:sz w:val="20"/>
        </w:rPr>
        <w:t>Report on activities of the Board of Directors in 2023;</w:t>
      </w:r>
    </w:p>
    <w:p w14:paraId="00000006" w14:textId="77777777" w:rsidR="00367175" w:rsidRPr="00AA2D57" w:rsidRDefault="00AA2D57" w:rsidP="00AA2D57">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Report on the activities of the Supervisory Board in 2023;</w:t>
      </w:r>
    </w:p>
    <w:p w14:paraId="00000007" w14:textId="77777777" w:rsidR="00367175" w:rsidRPr="00AA2D57" w:rsidRDefault="00AA2D57" w:rsidP="00AA2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2: Approve Proposals of the Board of Directors including:</w:t>
      </w:r>
    </w:p>
    <w:p w14:paraId="00000008" w14:textId="77777777" w:rsidR="00367175" w:rsidRPr="00AA2D57" w:rsidRDefault="00AA2D57" w:rsidP="00AA2D57">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Proposal No. 76 </w:t>
      </w:r>
      <w:proofErr w:type="spellStart"/>
      <w:r>
        <w:rPr>
          <w:rFonts w:ascii="Arial" w:hAnsi="Arial"/>
          <w:color w:val="010000"/>
          <w:sz w:val="20"/>
        </w:rPr>
        <w:t>TTr</w:t>
      </w:r>
      <w:proofErr w:type="spellEnd"/>
      <w:r>
        <w:rPr>
          <w:rFonts w:ascii="Arial" w:hAnsi="Arial"/>
          <w:color w:val="010000"/>
          <w:sz w:val="20"/>
        </w:rPr>
        <w:t>/HDQT dated March 26, 2024: on approving business results 2023, production and business plan targets 2024, in which:</w:t>
      </w:r>
    </w:p>
    <w:p w14:paraId="00000009" w14:textId="77777777" w:rsidR="00367175" w:rsidRPr="00AA2D57" w:rsidRDefault="00AA2D57" w:rsidP="00AA2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results of production and business activities 2023 are as follows: </w:t>
      </w:r>
    </w:p>
    <w:p w14:paraId="0000000A" w14:textId="77777777" w:rsidR="00367175" w:rsidRPr="00AA2D57" w:rsidRDefault="00AA2D57" w:rsidP="00AA2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 VND 21,186,430,255</w:t>
      </w:r>
    </w:p>
    <w:p w14:paraId="0000000B" w14:textId="77777777" w:rsidR="00367175" w:rsidRPr="00AA2D57" w:rsidRDefault="00AA2D57" w:rsidP="00AA2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expenses: VND 14,255,181,254</w:t>
      </w:r>
    </w:p>
    <w:p w14:paraId="0000000C" w14:textId="77777777" w:rsidR="00367175" w:rsidRPr="00AA2D57" w:rsidRDefault="00AA2D57" w:rsidP="00AA2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Taxes and other payments to the State budget: VND 5,929,820,473</w:t>
      </w:r>
    </w:p>
    <w:p w14:paraId="0000000D" w14:textId="77777777" w:rsidR="00367175" w:rsidRPr="00AA2D57" w:rsidRDefault="00AA2D57" w:rsidP="00AA2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 VND 5,420,236,854</w:t>
      </w:r>
    </w:p>
    <w:p w14:paraId="0000000E" w14:textId="7409FE0D" w:rsidR="00367175" w:rsidRPr="00AA2D57" w:rsidRDefault="00DB48AB" w:rsidP="00AA2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Dividends: 13% (</w:t>
      </w:r>
      <w:r w:rsidR="00AA2D57">
        <w:rPr>
          <w:rFonts w:ascii="Arial" w:hAnsi="Arial"/>
          <w:color w:val="010000"/>
          <w:sz w:val="20"/>
        </w:rPr>
        <w:t>1 share/year)</w:t>
      </w:r>
    </w:p>
    <w:p w14:paraId="0000000F" w14:textId="77777777" w:rsidR="00367175" w:rsidRPr="00AA2D57" w:rsidRDefault="00AA2D57" w:rsidP="00AA2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Production and business plan 2024:</w:t>
      </w:r>
      <w:r>
        <w:rPr>
          <w:rFonts w:ascii="Arial" w:hAnsi="Arial"/>
          <w:color w:val="010000"/>
          <w:sz w:val="20"/>
        </w:rPr>
        <w:br/>
        <w:t>Total revenue: VND 18,292,000,000</w:t>
      </w:r>
    </w:p>
    <w:p w14:paraId="00000010" w14:textId="77777777" w:rsidR="00367175" w:rsidRPr="00AA2D57" w:rsidRDefault="00AA2D57" w:rsidP="00AA2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expenses: VND 15,180,000,000</w:t>
      </w:r>
    </w:p>
    <w:p w14:paraId="00000011" w14:textId="77777777" w:rsidR="00367175" w:rsidRPr="00AA2D57" w:rsidRDefault="00AA2D57" w:rsidP="00AA2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Taxes and other payments to the State budget: VND 4,500,000,000</w:t>
      </w:r>
    </w:p>
    <w:p w14:paraId="00000012" w14:textId="77777777" w:rsidR="00367175" w:rsidRPr="00AA2D57" w:rsidRDefault="00AA2D57" w:rsidP="00AA2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 VND 2,460,000,000.</w:t>
      </w:r>
    </w:p>
    <w:p w14:paraId="00000013" w14:textId="22F78FBB" w:rsidR="00367175" w:rsidRPr="00AA2D57" w:rsidRDefault="00DB48AB" w:rsidP="00AA2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Dividends: 08% (</w:t>
      </w:r>
      <w:bookmarkStart w:id="0" w:name="_GoBack"/>
      <w:bookmarkEnd w:id="0"/>
      <w:r w:rsidR="00AA2D57">
        <w:rPr>
          <w:rFonts w:ascii="Arial" w:hAnsi="Arial"/>
          <w:color w:val="010000"/>
          <w:sz w:val="20"/>
        </w:rPr>
        <w:t>1 share/year)</w:t>
      </w:r>
    </w:p>
    <w:p w14:paraId="00000014" w14:textId="77777777" w:rsidR="00367175" w:rsidRPr="00AA2D57" w:rsidRDefault="00AA2D57" w:rsidP="00AA2D57">
      <w:pPr>
        <w:numPr>
          <w:ilvl w:val="0"/>
          <w:numId w:val="6"/>
        </w:numPr>
        <w:pBdr>
          <w:top w:val="nil"/>
          <w:left w:val="nil"/>
          <w:bottom w:val="nil"/>
          <w:right w:val="nil"/>
          <w:between w:val="nil"/>
        </w:pBdr>
        <w:tabs>
          <w:tab w:val="left" w:pos="432"/>
          <w:tab w:val="left" w:pos="1053"/>
        </w:tabs>
        <w:spacing w:after="120" w:line="360" w:lineRule="auto"/>
        <w:jc w:val="both"/>
        <w:rPr>
          <w:rFonts w:ascii="Arial" w:eastAsia="Arial" w:hAnsi="Arial" w:cs="Arial"/>
          <w:color w:val="010000"/>
          <w:sz w:val="20"/>
          <w:szCs w:val="20"/>
        </w:rPr>
      </w:pPr>
      <w:r>
        <w:rPr>
          <w:rFonts w:ascii="Arial" w:hAnsi="Arial"/>
          <w:color w:val="010000"/>
          <w:sz w:val="20"/>
        </w:rPr>
        <w:t xml:space="preserve">Proposal No. 77 </w:t>
      </w:r>
      <w:proofErr w:type="spellStart"/>
      <w:r>
        <w:rPr>
          <w:rFonts w:ascii="Arial" w:hAnsi="Arial"/>
          <w:color w:val="010000"/>
          <w:sz w:val="20"/>
        </w:rPr>
        <w:t>TTr</w:t>
      </w:r>
      <w:proofErr w:type="spellEnd"/>
      <w:r>
        <w:rPr>
          <w:rFonts w:ascii="Arial" w:hAnsi="Arial"/>
          <w:color w:val="010000"/>
          <w:sz w:val="20"/>
        </w:rPr>
        <w:t>/HDQT dated March 26, 2024: on approving the Audited Financial Statements 2023 of the Company;</w:t>
      </w:r>
    </w:p>
    <w:p w14:paraId="00000015" w14:textId="77777777" w:rsidR="00367175" w:rsidRPr="00AA2D57" w:rsidRDefault="00AA2D57" w:rsidP="00AA2D57">
      <w:pPr>
        <w:numPr>
          <w:ilvl w:val="0"/>
          <w:numId w:val="6"/>
        </w:numPr>
        <w:pBdr>
          <w:top w:val="nil"/>
          <w:left w:val="nil"/>
          <w:bottom w:val="nil"/>
          <w:right w:val="nil"/>
          <w:between w:val="nil"/>
        </w:pBdr>
        <w:tabs>
          <w:tab w:val="left" w:pos="432"/>
          <w:tab w:val="left" w:pos="1071"/>
        </w:tabs>
        <w:spacing w:after="120" w:line="360" w:lineRule="auto"/>
        <w:jc w:val="both"/>
        <w:rPr>
          <w:rFonts w:ascii="Arial" w:eastAsia="Arial" w:hAnsi="Arial" w:cs="Arial"/>
          <w:color w:val="010000"/>
          <w:sz w:val="20"/>
          <w:szCs w:val="20"/>
        </w:rPr>
      </w:pPr>
      <w:r>
        <w:rPr>
          <w:rFonts w:ascii="Arial" w:hAnsi="Arial"/>
          <w:color w:val="010000"/>
          <w:sz w:val="20"/>
        </w:rPr>
        <w:t xml:space="preserve">Proposal No. 78 </w:t>
      </w:r>
      <w:proofErr w:type="spellStart"/>
      <w:r>
        <w:rPr>
          <w:rFonts w:ascii="Arial" w:hAnsi="Arial"/>
          <w:color w:val="010000"/>
          <w:sz w:val="20"/>
        </w:rPr>
        <w:t>TTr</w:t>
      </w:r>
      <w:proofErr w:type="spellEnd"/>
      <w:r>
        <w:rPr>
          <w:rFonts w:ascii="Arial" w:hAnsi="Arial"/>
          <w:color w:val="010000"/>
          <w:sz w:val="20"/>
        </w:rPr>
        <w:t>/HDQT dated March 26, 2024: on approving the settlement of remuneration for members of the Board of Directors, the Supervisory Board, and the person in charge of corporate governance 2023; the remuneration plan for members of the Board of Directors, the Supervisory Board, and the person in charge of corporate governance 2024, including:</w:t>
      </w:r>
    </w:p>
    <w:p w14:paraId="00000016" w14:textId="77777777" w:rsidR="00367175" w:rsidRPr="00AA2D57" w:rsidRDefault="00AA2D57" w:rsidP="00AA2D57">
      <w:pPr>
        <w:numPr>
          <w:ilvl w:val="0"/>
          <w:numId w:val="7"/>
        </w:numPr>
        <w:pBdr>
          <w:top w:val="nil"/>
          <w:left w:val="nil"/>
          <w:bottom w:val="nil"/>
          <w:right w:val="nil"/>
          <w:between w:val="nil"/>
        </w:pBdr>
        <w:tabs>
          <w:tab w:val="left" w:pos="432"/>
          <w:tab w:val="left" w:pos="945"/>
        </w:tabs>
        <w:spacing w:after="120" w:line="360" w:lineRule="auto"/>
        <w:jc w:val="both"/>
        <w:rPr>
          <w:rFonts w:ascii="Arial" w:eastAsia="Arial" w:hAnsi="Arial" w:cs="Arial"/>
          <w:color w:val="010000"/>
          <w:sz w:val="20"/>
          <w:szCs w:val="20"/>
        </w:rPr>
      </w:pPr>
      <w:r>
        <w:rPr>
          <w:rFonts w:ascii="Arial" w:hAnsi="Arial"/>
          <w:color w:val="010000"/>
          <w:sz w:val="20"/>
        </w:rPr>
        <w:t>Remuneration for the Board of Directors, the Supervisory Board, and the person in charge of corporate governance 2023 with the total amount: VND 273,600,000</w:t>
      </w:r>
    </w:p>
    <w:p w14:paraId="00000017" w14:textId="77777777" w:rsidR="00367175" w:rsidRPr="00AA2D57" w:rsidRDefault="00AA2D57" w:rsidP="00AA2D57">
      <w:pPr>
        <w:pBdr>
          <w:top w:val="nil"/>
          <w:left w:val="nil"/>
          <w:bottom w:val="nil"/>
          <w:right w:val="nil"/>
          <w:between w:val="nil"/>
        </w:pBdr>
        <w:tabs>
          <w:tab w:val="left" w:pos="432"/>
          <w:tab w:val="left" w:pos="6292"/>
        </w:tabs>
        <w:spacing w:after="120" w:line="360" w:lineRule="auto"/>
        <w:rPr>
          <w:rFonts w:ascii="Arial" w:eastAsia="Arial" w:hAnsi="Arial" w:cs="Arial"/>
          <w:color w:val="010000"/>
          <w:sz w:val="20"/>
          <w:szCs w:val="20"/>
        </w:rPr>
      </w:pPr>
      <w:r>
        <w:rPr>
          <w:rFonts w:ascii="Arial" w:hAnsi="Arial"/>
          <w:color w:val="010000"/>
          <w:sz w:val="20"/>
        </w:rPr>
        <w:t>Remuneration for member of the Board of Directors: VND 160,800,000</w:t>
      </w:r>
    </w:p>
    <w:p w14:paraId="00000018" w14:textId="77777777" w:rsidR="00367175" w:rsidRPr="00AA2D57" w:rsidRDefault="00AA2D57" w:rsidP="00AA2D57">
      <w:pPr>
        <w:pBdr>
          <w:top w:val="nil"/>
          <w:left w:val="nil"/>
          <w:bottom w:val="nil"/>
          <w:right w:val="nil"/>
          <w:between w:val="nil"/>
        </w:pBdr>
        <w:tabs>
          <w:tab w:val="left" w:pos="432"/>
          <w:tab w:val="left" w:pos="6463"/>
        </w:tabs>
        <w:spacing w:after="120" w:line="360" w:lineRule="auto"/>
        <w:rPr>
          <w:rFonts w:ascii="Arial" w:eastAsia="Arial" w:hAnsi="Arial" w:cs="Arial"/>
          <w:color w:val="010000"/>
          <w:sz w:val="20"/>
          <w:szCs w:val="20"/>
        </w:rPr>
      </w:pPr>
      <w:r>
        <w:rPr>
          <w:rFonts w:ascii="Arial" w:hAnsi="Arial"/>
          <w:color w:val="010000"/>
          <w:sz w:val="20"/>
        </w:rPr>
        <w:lastRenderedPageBreak/>
        <w:t>Remuneration for member of the Supervisory Board: VND 88,800,000</w:t>
      </w:r>
    </w:p>
    <w:p w14:paraId="00000019" w14:textId="77777777" w:rsidR="00367175" w:rsidRPr="00AA2D57" w:rsidRDefault="00AA2D57" w:rsidP="00AA2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 for the person in charge of corporate governance: VND 24,000,000</w:t>
      </w:r>
    </w:p>
    <w:p w14:paraId="0000001A" w14:textId="77777777" w:rsidR="00367175" w:rsidRPr="00AA2D57" w:rsidRDefault="00AA2D57" w:rsidP="00AA2D57">
      <w:pPr>
        <w:numPr>
          <w:ilvl w:val="0"/>
          <w:numId w:val="7"/>
        </w:numPr>
        <w:pBdr>
          <w:top w:val="nil"/>
          <w:left w:val="nil"/>
          <w:bottom w:val="nil"/>
          <w:right w:val="nil"/>
          <w:between w:val="nil"/>
        </w:pBdr>
        <w:tabs>
          <w:tab w:val="left" w:pos="432"/>
          <w:tab w:val="left" w:pos="952"/>
        </w:tabs>
        <w:spacing w:after="120" w:line="360" w:lineRule="auto"/>
        <w:jc w:val="both"/>
        <w:rPr>
          <w:rFonts w:ascii="Arial" w:eastAsia="Arial" w:hAnsi="Arial" w:cs="Arial"/>
          <w:color w:val="010000"/>
          <w:sz w:val="20"/>
          <w:szCs w:val="20"/>
        </w:rPr>
      </w:pPr>
      <w:r>
        <w:rPr>
          <w:rFonts w:ascii="Arial" w:hAnsi="Arial"/>
          <w:color w:val="010000"/>
          <w:sz w:val="20"/>
        </w:rPr>
        <w:t>Estimated remuneration for the Board of Directors, the Supervisory Board, and the person in charge of corporate governance 2024 with the total amount: VND 354,000,000</w:t>
      </w:r>
    </w:p>
    <w:p w14:paraId="0000001B" w14:textId="77777777" w:rsidR="00367175" w:rsidRPr="00AA2D57" w:rsidRDefault="00AA2D57" w:rsidP="00AA2D57">
      <w:pPr>
        <w:pBdr>
          <w:top w:val="nil"/>
          <w:left w:val="nil"/>
          <w:bottom w:val="nil"/>
          <w:right w:val="nil"/>
          <w:between w:val="nil"/>
        </w:pBdr>
        <w:tabs>
          <w:tab w:val="left" w:pos="432"/>
          <w:tab w:val="left" w:pos="6292"/>
        </w:tabs>
        <w:spacing w:after="120" w:line="360" w:lineRule="auto"/>
        <w:rPr>
          <w:rFonts w:ascii="Arial" w:eastAsia="Arial" w:hAnsi="Arial" w:cs="Arial"/>
          <w:color w:val="010000"/>
          <w:sz w:val="20"/>
          <w:szCs w:val="20"/>
        </w:rPr>
      </w:pPr>
      <w:r>
        <w:rPr>
          <w:rFonts w:ascii="Arial" w:hAnsi="Arial"/>
          <w:color w:val="010000"/>
          <w:sz w:val="20"/>
        </w:rPr>
        <w:t>Remuneration for 05 members of the Board of Directors: VND 211,200,000</w:t>
      </w:r>
    </w:p>
    <w:p w14:paraId="0000001C" w14:textId="77777777" w:rsidR="00367175" w:rsidRPr="00AA2D57" w:rsidRDefault="00AA2D57" w:rsidP="00AA2D57">
      <w:pPr>
        <w:pBdr>
          <w:top w:val="nil"/>
          <w:left w:val="nil"/>
          <w:bottom w:val="nil"/>
          <w:right w:val="nil"/>
          <w:between w:val="nil"/>
        </w:pBdr>
        <w:tabs>
          <w:tab w:val="left" w:pos="432"/>
          <w:tab w:val="left" w:pos="6292"/>
        </w:tabs>
        <w:spacing w:after="120" w:line="360" w:lineRule="auto"/>
        <w:rPr>
          <w:rFonts w:ascii="Arial" w:eastAsia="Arial" w:hAnsi="Arial" w:cs="Arial"/>
          <w:color w:val="010000"/>
          <w:sz w:val="20"/>
          <w:szCs w:val="20"/>
        </w:rPr>
      </w:pPr>
      <w:r>
        <w:rPr>
          <w:rFonts w:ascii="Arial" w:hAnsi="Arial"/>
          <w:color w:val="010000"/>
          <w:sz w:val="20"/>
        </w:rPr>
        <w:t>Remuneration for the 03 members of the Supervisory Board: VND 112,800,000</w:t>
      </w:r>
    </w:p>
    <w:p w14:paraId="0000001D" w14:textId="77777777" w:rsidR="00367175" w:rsidRPr="00AA2D57" w:rsidRDefault="00AA2D57" w:rsidP="00AA2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 for the person in charge of corporate governance: VND 30,000,000</w:t>
      </w:r>
    </w:p>
    <w:p w14:paraId="0000001E" w14:textId="77777777" w:rsidR="00367175" w:rsidRPr="00AA2D57" w:rsidRDefault="00AA2D57" w:rsidP="00AA2D57">
      <w:pPr>
        <w:numPr>
          <w:ilvl w:val="0"/>
          <w:numId w:val="6"/>
        </w:numPr>
        <w:pBdr>
          <w:top w:val="nil"/>
          <w:left w:val="nil"/>
          <w:bottom w:val="nil"/>
          <w:right w:val="nil"/>
          <w:between w:val="nil"/>
        </w:pBdr>
        <w:tabs>
          <w:tab w:val="left" w:pos="432"/>
          <w:tab w:val="left" w:pos="1064"/>
        </w:tabs>
        <w:spacing w:after="120" w:line="360" w:lineRule="auto"/>
        <w:jc w:val="both"/>
        <w:rPr>
          <w:rFonts w:ascii="Arial" w:eastAsia="Arial" w:hAnsi="Arial" w:cs="Arial"/>
          <w:color w:val="010000"/>
          <w:sz w:val="20"/>
          <w:szCs w:val="20"/>
        </w:rPr>
      </w:pPr>
      <w:r>
        <w:rPr>
          <w:rFonts w:ascii="Arial" w:hAnsi="Arial"/>
          <w:color w:val="010000"/>
          <w:sz w:val="20"/>
        </w:rPr>
        <w:t xml:space="preserve">Proposal No. 79 </w:t>
      </w:r>
      <w:proofErr w:type="spellStart"/>
      <w:r>
        <w:rPr>
          <w:rFonts w:ascii="Arial" w:hAnsi="Arial"/>
          <w:color w:val="010000"/>
          <w:sz w:val="20"/>
        </w:rPr>
        <w:t>TTr</w:t>
      </w:r>
      <w:proofErr w:type="spellEnd"/>
      <w:r>
        <w:rPr>
          <w:rFonts w:ascii="Arial" w:hAnsi="Arial"/>
          <w:color w:val="010000"/>
          <w:sz w:val="20"/>
        </w:rPr>
        <w:t>/HDQT dated March 26, 2024: on the settlement of the actual salary 2023 and the payroll plan for 2024 of the company's management:</w:t>
      </w:r>
    </w:p>
    <w:p w14:paraId="0000001F" w14:textId="77777777" w:rsidR="00367175" w:rsidRPr="00AA2D57" w:rsidRDefault="00AA2D57" w:rsidP="00AA2D57">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Actual salary 2023: Number of company managers: 04 person </w:t>
      </w:r>
    </w:p>
    <w:p w14:paraId="00000020" w14:textId="77777777" w:rsidR="00367175" w:rsidRPr="00AA2D57" w:rsidRDefault="00AA2D57" w:rsidP="00AA2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Actual salary: VND 784,929,977/year</w:t>
      </w:r>
    </w:p>
    <w:p w14:paraId="00000021" w14:textId="23E7B7F2" w:rsidR="00367175" w:rsidRPr="00AA2D57" w:rsidRDefault="00AA2D57" w:rsidP="00AA2D57">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Wage fund plan 2024: Number of company managers: 04 person </w:t>
      </w:r>
    </w:p>
    <w:p w14:paraId="00000022" w14:textId="77777777" w:rsidR="00367175" w:rsidRPr="00AA2D57" w:rsidRDefault="00AA2D57" w:rsidP="00AA2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 for company managers: VND 760,000,000/year</w:t>
      </w:r>
    </w:p>
    <w:p w14:paraId="00000023" w14:textId="77777777" w:rsidR="00367175" w:rsidRPr="00AA2D57" w:rsidRDefault="00AA2D57" w:rsidP="00AA2D57">
      <w:pPr>
        <w:numPr>
          <w:ilvl w:val="0"/>
          <w:numId w:val="6"/>
        </w:numPr>
        <w:pBdr>
          <w:top w:val="nil"/>
          <w:left w:val="nil"/>
          <w:bottom w:val="nil"/>
          <w:right w:val="nil"/>
          <w:between w:val="nil"/>
        </w:pBdr>
        <w:tabs>
          <w:tab w:val="left" w:pos="432"/>
          <w:tab w:val="left" w:pos="1057"/>
        </w:tabs>
        <w:spacing w:after="120" w:line="360" w:lineRule="auto"/>
        <w:jc w:val="both"/>
        <w:rPr>
          <w:rFonts w:ascii="Arial" w:eastAsia="Arial" w:hAnsi="Arial" w:cs="Arial"/>
          <w:color w:val="010000"/>
          <w:sz w:val="20"/>
          <w:szCs w:val="20"/>
        </w:rPr>
      </w:pPr>
      <w:r>
        <w:rPr>
          <w:rFonts w:ascii="Arial" w:hAnsi="Arial"/>
          <w:color w:val="010000"/>
          <w:sz w:val="20"/>
        </w:rPr>
        <w:t xml:space="preserve">Proposal No. 80 </w:t>
      </w:r>
      <w:proofErr w:type="spellStart"/>
      <w:r>
        <w:rPr>
          <w:rFonts w:ascii="Arial" w:hAnsi="Arial"/>
          <w:color w:val="010000"/>
          <w:sz w:val="20"/>
        </w:rPr>
        <w:t>TTr</w:t>
      </w:r>
      <w:proofErr w:type="spellEnd"/>
      <w:r>
        <w:rPr>
          <w:rFonts w:ascii="Arial" w:hAnsi="Arial"/>
          <w:color w:val="010000"/>
          <w:sz w:val="20"/>
        </w:rPr>
        <w:t>/HDQT dated March 26, 2024: on appropriation for funds and profit distribution 2023, specifically:</w:t>
      </w:r>
    </w:p>
    <w:p w14:paraId="00000024" w14:textId="77777777" w:rsidR="00367175" w:rsidRPr="00AA2D57" w:rsidRDefault="00AA2D57" w:rsidP="00AA2D5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Appropriation for funds and profit distribution</w:t>
      </w:r>
    </w:p>
    <w:p w14:paraId="00000025" w14:textId="77777777" w:rsidR="00367175" w:rsidRPr="00AA2D57" w:rsidRDefault="00AA2D57" w:rsidP="00AA2D5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Profit after tax 2023: VND 5,420,236,854</w:t>
      </w:r>
    </w:p>
    <w:p w14:paraId="00000026" w14:textId="77777777" w:rsidR="00367175" w:rsidRPr="00AA2D57" w:rsidRDefault="00AA2D57" w:rsidP="00AA2D5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Appropriation for bonus and welfare funds: VND 819,134,854</w:t>
      </w:r>
    </w:p>
    <w:p w14:paraId="00000027" w14:textId="77777777" w:rsidR="00367175" w:rsidRPr="00AA2D57" w:rsidRDefault="00AA2D57" w:rsidP="00AA2D5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Appropriation for investment and development funds: VND 1,626,000,000</w:t>
      </w:r>
    </w:p>
    <w:p w14:paraId="00000028" w14:textId="77777777" w:rsidR="00367175" w:rsidRPr="00AA2D57" w:rsidRDefault="00AA2D57" w:rsidP="00AA2D5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of 2023 is distributed as dividends to the shareholders</w:t>
      </w:r>
    </w:p>
    <w:p w14:paraId="00000029" w14:textId="77777777" w:rsidR="00367175" w:rsidRPr="00AA2D57" w:rsidRDefault="00AA2D57" w:rsidP="00AA2D57">
      <w:pPr>
        <w:numPr>
          <w:ilvl w:val="0"/>
          <w:numId w:val="7"/>
        </w:numPr>
        <w:pBdr>
          <w:top w:val="nil"/>
          <w:left w:val="nil"/>
          <w:bottom w:val="nil"/>
          <w:right w:val="nil"/>
          <w:between w:val="nil"/>
        </w:pBdr>
        <w:tabs>
          <w:tab w:val="left" w:pos="432"/>
          <w:tab w:val="left" w:pos="949"/>
        </w:tabs>
        <w:spacing w:after="120" w:line="360" w:lineRule="auto"/>
        <w:jc w:val="both"/>
        <w:rPr>
          <w:rFonts w:ascii="Arial" w:eastAsia="Arial" w:hAnsi="Arial" w:cs="Arial"/>
          <w:color w:val="010000"/>
          <w:sz w:val="20"/>
          <w:szCs w:val="20"/>
        </w:rPr>
      </w:pPr>
      <w:r>
        <w:rPr>
          <w:rFonts w:ascii="Arial" w:hAnsi="Arial"/>
          <w:color w:val="010000"/>
          <w:sz w:val="20"/>
        </w:rPr>
        <w:t>The remaining profit available for dividend distribution is: VND 2,975,102,000 to be distributed as dividends to the shareholders according to their capital contribution ratio.</w:t>
      </w:r>
    </w:p>
    <w:p w14:paraId="0000002A" w14:textId="77777777" w:rsidR="00367175" w:rsidRPr="00AA2D57" w:rsidRDefault="00AA2D57" w:rsidP="00AA2D57">
      <w:pPr>
        <w:numPr>
          <w:ilvl w:val="0"/>
          <w:numId w:val="7"/>
        </w:numPr>
        <w:pBdr>
          <w:top w:val="nil"/>
          <w:left w:val="nil"/>
          <w:bottom w:val="nil"/>
          <w:right w:val="nil"/>
          <w:between w:val="nil"/>
        </w:pBdr>
        <w:tabs>
          <w:tab w:val="left" w:pos="432"/>
          <w:tab w:val="left" w:pos="945"/>
        </w:tabs>
        <w:spacing w:after="120" w:line="360" w:lineRule="auto"/>
        <w:rPr>
          <w:rFonts w:ascii="Arial" w:eastAsia="Arial" w:hAnsi="Arial" w:cs="Arial"/>
          <w:color w:val="010000"/>
          <w:sz w:val="20"/>
          <w:szCs w:val="20"/>
        </w:rPr>
      </w:pPr>
      <w:r>
        <w:rPr>
          <w:rFonts w:ascii="Arial" w:hAnsi="Arial"/>
          <w:color w:val="010000"/>
          <w:sz w:val="20"/>
        </w:rPr>
        <w:t>The dividend rate is 13% per share per year</w:t>
      </w:r>
    </w:p>
    <w:p w14:paraId="0000002B" w14:textId="77777777" w:rsidR="00367175" w:rsidRPr="00AA2D57" w:rsidRDefault="00AA2D57" w:rsidP="00AA2D57">
      <w:pPr>
        <w:numPr>
          <w:ilvl w:val="0"/>
          <w:numId w:val="7"/>
        </w:numPr>
        <w:pBdr>
          <w:top w:val="nil"/>
          <w:left w:val="nil"/>
          <w:bottom w:val="nil"/>
          <w:right w:val="nil"/>
          <w:between w:val="nil"/>
        </w:pBdr>
        <w:tabs>
          <w:tab w:val="left" w:pos="432"/>
          <w:tab w:val="left" w:pos="949"/>
        </w:tabs>
        <w:spacing w:after="120" w:line="360" w:lineRule="auto"/>
        <w:rPr>
          <w:rFonts w:ascii="Arial" w:eastAsia="Arial" w:hAnsi="Arial" w:cs="Arial"/>
          <w:color w:val="010000"/>
          <w:sz w:val="20"/>
          <w:szCs w:val="20"/>
        </w:rPr>
      </w:pPr>
      <w:r>
        <w:rPr>
          <w:rFonts w:ascii="Arial" w:hAnsi="Arial"/>
          <w:color w:val="010000"/>
          <w:sz w:val="20"/>
        </w:rPr>
        <w:t>The dividend payment method is in cash, and the Board of Directors is responsible for choosing the timing of dividend payments to the company's shareholders according to the regulations of the Enterprise Law and the Company's Charter.</w:t>
      </w:r>
    </w:p>
    <w:p w14:paraId="0000002C" w14:textId="77777777" w:rsidR="00367175" w:rsidRPr="00AA2D57" w:rsidRDefault="00AA2D57" w:rsidP="00AA2D57">
      <w:pPr>
        <w:numPr>
          <w:ilvl w:val="0"/>
          <w:numId w:val="6"/>
        </w:numPr>
        <w:pBdr>
          <w:top w:val="nil"/>
          <w:left w:val="nil"/>
          <w:bottom w:val="nil"/>
          <w:right w:val="nil"/>
          <w:between w:val="nil"/>
        </w:pBdr>
        <w:tabs>
          <w:tab w:val="left" w:pos="432"/>
          <w:tab w:val="left" w:pos="1064"/>
        </w:tabs>
        <w:spacing w:after="120" w:line="360" w:lineRule="auto"/>
        <w:jc w:val="both"/>
        <w:rPr>
          <w:rFonts w:ascii="Arial" w:eastAsia="Arial" w:hAnsi="Arial" w:cs="Arial"/>
          <w:color w:val="010000"/>
          <w:sz w:val="20"/>
          <w:szCs w:val="20"/>
        </w:rPr>
      </w:pPr>
      <w:r>
        <w:rPr>
          <w:rFonts w:ascii="Arial" w:hAnsi="Arial"/>
          <w:color w:val="010000"/>
          <w:sz w:val="20"/>
        </w:rPr>
        <w:t xml:space="preserve">Proposal No. 81 </w:t>
      </w:r>
      <w:proofErr w:type="spellStart"/>
      <w:r>
        <w:rPr>
          <w:rFonts w:ascii="Arial" w:hAnsi="Arial"/>
          <w:color w:val="010000"/>
          <w:sz w:val="20"/>
        </w:rPr>
        <w:t>TTr</w:t>
      </w:r>
      <w:proofErr w:type="spellEnd"/>
      <w:r>
        <w:rPr>
          <w:rFonts w:ascii="Arial" w:hAnsi="Arial"/>
          <w:color w:val="010000"/>
          <w:sz w:val="20"/>
        </w:rPr>
        <w:t>/HDQT dated March 26, 2024: on authorizing the Board of Directors to evaluate and select the audit company for the Financial Statements 2024:</w:t>
      </w:r>
    </w:p>
    <w:p w14:paraId="0000002D" w14:textId="77777777" w:rsidR="00367175" w:rsidRPr="00AA2D57" w:rsidRDefault="00AA2D57" w:rsidP="00AA2D5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authorize the Board of Directors to evaluate and consider selecting one of the following audit companies:</w:t>
      </w:r>
    </w:p>
    <w:p w14:paraId="0000002E" w14:textId="77777777" w:rsidR="00367175" w:rsidRPr="00AA2D57" w:rsidRDefault="00AA2D57" w:rsidP="00AA2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AAC Auditing and Accounting Company Limited</w:t>
      </w:r>
    </w:p>
    <w:p w14:paraId="0000002F" w14:textId="77777777" w:rsidR="00367175" w:rsidRPr="00AA2D57" w:rsidRDefault="00AA2D57" w:rsidP="00AA2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CPA Vietnam Auditing Company Limited</w:t>
      </w:r>
    </w:p>
    <w:p w14:paraId="00000030" w14:textId="77777777" w:rsidR="00367175" w:rsidRPr="00AA2D57" w:rsidRDefault="00AA2D57" w:rsidP="00AA2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A&amp;C Auditing and Consulting Company Limited</w:t>
      </w:r>
    </w:p>
    <w:p w14:paraId="00000031" w14:textId="77777777" w:rsidR="00367175" w:rsidRPr="00AA2D57" w:rsidRDefault="00AA2D57" w:rsidP="00AA2D5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 conduct the audit of the Financial Statements 2024 in accordance with the provisions of the Enterprise Law and the Company's Charter:</w:t>
      </w:r>
    </w:p>
    <w:p w14:paraId="00000032" w14:textId="77777777" w:rsidR="00367175" w:rsidRPr="00AA2D57" w:rsidRDefault="00AA2D57" w:rsidP="00AA2D57">
      <w:pPr>
        <w:numPr>
          <w:ilvl w:val="0"/>
          <w:numId w:val="6"/>
        </w:numPr>
        <w:pBdr>
          <w:top w:val="nil"/>
          <w:left w:val="nil"/>
          <w:bottom w:val="nil"/>
          <w:right w:val="nil"/>
          <w:between w:val="nil"/>
        </w:pBdr>
        <w:tabs>
          <w:tab w:val="left" w:pos="432"/>
          <w:tab w:val="left" w:pos="1071"/>
        </w:tabs>
        <w:spacing w:after="120" w:line="360" w:lineRule="auto"/>
        <w:jc w:val="both"/>
        <w:rPr>
          <w:rFonts w:ascii="Arial" w:eastAsia="Arial" w:hAnsi="Arial" w:cs="Arial"/>
          <w:color w:val="010000"/>
          <w:sz w:val="20"/>
          <w:szCs w:val="20"/>
        </w:rPr>
      </w:pPr>
      <w:r>
        <w:rPr>
          <w:rFonts w:ascii="Arial" w:hAnsi="Arial"/>
          <w:color w:val="010000"/>
          <w:sz w:val="20"/>
        </w:rPr>
        <w:t xml:space="preserve">Proposal No. 82 </w:t>
      </w:r>
      <w:proofErr w:type="spellStart"/>
      <w:r>
        <w:rPr>
          <w:rFonts w:ascii="Arial" w:hAnsi="Arial"/>
          <w:color w:val="010000"/>
          <w:sz w:val="20"/>
        </w:rPr>
        <w:t>TTr</w:t>
      </w:r>
      <w:proofErr w:type="spellEnd"/>
      <w:r>
        <w:rPr>
          <w:rFonts w:ascii="Arial" w:hAnsi="Arial"/>
          <w:color w:val="010000"/>
          <w:sz w:val="20"/>
        </w:rPr>
        <w:t>/HDQT dated March 26, 2024: on implementing the investment project to construct Chi Lang Market as follows:</w:t>
      </w:r>
    </w:p>
    <w:p w14:paraId="00000033" w14:textId="77777777" w:rsidR="00367175" w:rsidRPr="00AA2D57" w:rsidRDefault="00AA2D57" w:rsidP="00AA2D57">
      <w:pPr>
        <w:numPr>
          <w:ilvl w:val="0"/>
          <w:numId w:val="7"/>
        </w:numPr>
        <w:pBdr>
          <w:top w:val="nil"/>
          <w:left w:val="nil"/>
          <w:bottom w:val="nil"/>
          <w:right w:val="nil"/>
          <w:between w:val="nil"/>
        </w:pBdr>
        <w:tabs>
          <w:tab w:val="left" w:pos="432"/>
          <w:tab w:val="left" w:pos="963"/>
        </w:tabs>
        <w:spacing w:after="120" w:line="360" w:lineRule="auto"/>
        <w:jc w:val="both"/>
        <w:rPr>
          <w:rFonts w:ascii="Arial" w:eastAsia="Arial" w:hAnsi="Arial" w:cs="Arial"/>
          <w:color w:val="010000"/>
          <w:sz w:val="20"/>
          <w:szCs w:val="20"/>
        </w:rPr>
      </w:pPr>
      <w:r>
        <w:rPr>
          <w:rFonts w:ascii="Arial" w:hAnsi="Arial"/>
          <w:color w:val="010000"/>
          <w:sz w:val="20"/>
        </w:rPr>
        <w:t>Implement the investment project to construct Chi Lang Market (Chi Lang Ward, Lang Son City) with a scale of 01 floor, with a total investment ranging from VND 23-25 billion.</w:t>
      </w:r>
    </w:p>
    <w:p w14:paraId="00000034" w14:textId="77777777" w:rsidR="00367175" w:rsidRPr="00AA2D57" w:rsidRDefault="00AA2D57" w:rsidP="00AA2D57">
      <w:pPr>
        <w:numPr>
          <w:ilvl w:val="0"/>
          <w:numId w:val="7"/>
        </w:numPr>
        <w:pBdr>
          <w:top w:val="nil"/>
          <w:left w:val="nil"/>
          <w:bottom w:val="nil"/>
          <w:right w:val="nil"/>
          <w:between w:val="nil"/>
        </w:pBdr>
        <w:tabs>
          <w:tab w:val="left" w:pos="432"/>
          <w:tab w:val="left" w:pos="967"/>
        </w:tabs>
        <w:spacing w:after="120" w:line="360" w:lineRule="auto"/>
        <w:jc w:val="both"/>
        <w:rPr>
          <w:rFonts w:ascii="Arial" w:eastAsia="Arial" w:hAnsi="Arial" w:cs="Arial"/>
          <w:color w:val="010000"/>
          <w:sz w:val="20"/>
          <w:szCs w:val="20"/>
        </w:rPr>
      </w:pPr>
      <w:r>
        <w:rPr>
          <w:rFonts w:ascii="Arial" w:hAnsi="Arial"/>
          <w:color w:val="010000"/>
          <w:sz w:val="20"/>
        </w:rPr>
        <w:t>The project implementation period for constructing Chi Lang Market is 12 months, starting from the date of obtaining approval and construction permits from the competent authority.</w:t>
      </w:r>
    </w:p>
    <w:p w14:paraId="00000035" w14:textId="77777777" w:rsidR="00367175" w:rsidRPr="00AA2D57" w:rsidRDefault="00AA2D57" w:rsidP="00AA2D5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3. Terms enforcement:</w:t>
      </w:r>
    </w:p>
    <w:p w14:paraId="00000036" w14:textId="0B8886EC" w:rsidR="00367175" w:rsidRPr="00AA2D57" w:rsidRDefault="00AA2D57" w:rsidP="00AA2D5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This General Mandate was approved and voted on at the Annual General Meeting of Shareholders 2024 and takes effect from April 26, 2024.</w:t>
      </w:r>
    </w:p>
    <w:p w14:paraId="00000037" w14:textId="7463876E" w:rsidR="00367175" w:rsidRPr="00AA2D57" w:rsidRDefault="00AA2D57" w:rsidP="00AA2D5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Board of Directors of Lang Son Market Joint Stock Company, the Board of Managers, the Supervisory Board, and relevant parties are responsible for implementing the duties assigned by the General Meeting of Shareholders in this General Mandate to ensure the shareholder benefits and compliance with legal regulations.</w:t>
      </w:r>
    </w:p>
    <w:sectPr w:rsidR="00367175" w:rsidRPr="00AA2D57" w:rsidSect="00AA2D5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C5C"/>
    <w:multiLevelType w:val="multilevel"/>
    <w:tmpl w:val="4044E8F8"/>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A5177DF"/>
    <w:multiLevelType w:val="multilevel"/>
    <w:tmpl w:val="CE18EB3C"/>
    <w:lvl w:ilvl="0">
      <w:numFmt w:val="bullet"/>
      <w:lvlText w:val="-"/>
      <w:lvlJc w:val="left"/>
      <w:pPr>
        <w:ind w:left="2120" w:hanging="360"/>
      </w:pPr>
      <w:rPr>
        <w:rFonts w:ascii="Arial" w:eastAsia="Arial" w:hAnsi="Arial" w:cs="Arial"/>
        <w:b w:val="0"/>
        <w:i w:val="0"/>
        <w:sz w:val="20"/>
        <w:szCs w:val="20"/>
        <w:u w:val="none"/>
      </w:rPr>
    </w:lvl>
    <w:lvl w:ilvl="1">
      <w:start w:val="1"/>
      <w:numFmt w:val="bullet"/>
      <w:lvlText w:val="o"/>
      <w:lvlJc w:val="left"/>
      <w:pPr>
        <w:ind w:left="2840" w:hanging="360"/>
      </w:pPr>
      <w:rPr>
        <w:rFonts w:ascii="Arial" w:eastAsia="Arial" w:hAnsi="Arial" w:cs="Arial"/>
        <w:b w:val="0"/>
        <w:i w:val="0"/>
        <w:sz w:val="20"/>
        <w:szCs w:val="20"/>
      </w:rPr>
    </w:lvl>
    <w:lvl w:ilvl="2">
      <w:start w:val="1"/>
      <w:numFmt w:val="bullet"/>
      <w:lvlText w:val=""/>
      <w:lvlJc w:val="left"/>
      <w:pPr>
        <w:ind w:left="3560" w:hanging="360"/>
      </w:pPr>
      <w:rPr>
        <w:rFonts w:ascii="Arial" w:eastAsia="Arial" w:hAnsi="Arial" w:cs="Arial"/>
        <w:b w:val="0"/>
        <w:i w:val="0"/>
        <w:sz w:val="20"/>
        <w:szCs w:val="20"/>
      </w:rPr>
    </w:lvl>
    <w:lvl w:ilvl="3">
      <w:start w:val="1"/>
      <w:numFmt w:val="bullet"/>
      <w:lvlText w:val="●"/>
      <w:lvlJc w:val="left"/>
      <w:pPr>
        <w:ind w:left="4280" w:hanging="360"/>
      </w:pPr>
      <w:rPr>
        <w:rFonts w:ascii="Noto Sans Symbols" w:eastAsia="Noto Sans Symbols" w:hAnsi="Noto Sans Symbols" w:cs="Noto Sans Symbols"/>
      </w:rPr>
    </w:lvl>
    <w:lvl w:ilvl="4">
      <w:start w:val="1"/>
      <w:numFmt w:val="bullet"/>
      <w:lvlText w:val="o"/>
      <w:lvlJc w:val="left"/>
      <w:pPr>
        <w:ind w:left="5000" w:hanging="360"/>
      </w:pPr>
      <w:rPr>
        <w:rFonts w:ascii="Courier New" w:eastAsia="Courier New" w:hAnsi="Courier New" w:cs="Courier New"/>
      </w:rPr>
    </w:lvl>
    <w:lvl w:ilvl="5">
      <w:start w:val="1"/>
      <w:numFmt w:val="bullet"/>
      <w:lvlText w:val="▪"/>
      <w:lvlJc w:val="left"/>
      <w:pPr>
        <w:ind w:left="5720" w:hanging="360"/>
      </w:pPr>
      <w:rPr>
        <w:rFonts w:ascii="Noto Sans Symbols" w:eastAsia="Noto Sans Symbols" w:hAnsi="Noto Sans Symbols" w:cs="Noto Sans Symbols"/>
      </w:rPr>
    </w:lvl>
    <w:lvl w:ilvl="6">
      <w:start w:val="1"/>
      <w:numFmt w:val="bullet"/>
      <w:lvlText w:val="●"/>
      <w:lvlJc w:val="left"/>
      <w:pPr>
        <w:ind w:left="6440" w:hanging="360"/>
      </w:pPr>
      <w:rPr>
        <w:rFonts w:ascii="Noto Sans Symbols" w:eastAsia="Noto Sans Symbols" w:hAnsi="Noto Sans Symbols" w:cs="Noto Sans Symbols"/>
      </w:rPr>
    </w:lvl>
    <w:lvl w:ilvl="7">
      <w:start w:val="1"/>
      <w:numFmt w:val="bullet"/>
      <w:lvlText w:val="o"/>
      <w:lvlJc w:val="left"/>
      <w:pPr>
        <w:ind w:left="7160" w:hanging="360"/>
      </w:pPr>
      <w:rPr>
        <w:rFonts w:ascii="Courier New" w:eastAsia="Courier New" w:hAnsi="Courier New" w:cs="Courier New"/>
      </w:rPr>
    </w:lvl>
    <w:lvl w:ilvl="8">
      <w:start w:val="1"/>
      <w:numFmt w:val="bullet"/>
      <w:lvlText w:val="▪"/>
      <w:lvlJc w:val="left"/>
      <w:pPr>
        <w:ind w:left="7880" w:hanging="360"/>
      </w:pPr>
      <w:rPr>
        <w:rFonts w:ascii="Noto Sans Symbols" w:eastAsia="Noto Sans Symbols" w:hAnsi="Noto Sans Symbols" w:cs="Noto Sans Symbols"/>
      </w:rPr>
    </w:lvl>
  </w:abstractNum>
  <w:abstractNum w:abstractNumId="2" w15:restartNumberingAfterBreak="0">
    <w:nsid w:val="12A45906"/>
    <w:multiLevelType w:val="multilevel"/>
    <w:tmpl w:val="158E4A6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E27017C"/>
    <w:multiLevelType w:val="multilevel"/>
    <w:tmpl w:val="87869D9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8E7A02"/>
    <w:multiLevelType w:val="multilevel"/>
    <w:tmpl w:val="03A2DD9A"/>
    <w:lvl w:ilvl="0">
      <w:start w:val="1"/>
      <w:numFmt w:val="decimal"/>
      <w:lvlText w:val="%1."/>
      <w:lvlJc w:val="left"/>
      <w:pPr>
        <w:ind w:left="0" w:firstLine="0"/>
      </w:pPr>
      <w:rPr>
        <w:rFonts w:ascii="Arial" w:eastAsia="Arial" w:hAnsi="Arial" w:cs="Arial"/>
        <w:b w:val="0"/>
        <w:i w:val="0"/>
        <w:smallCaps w:val="0"/>
        <w:strike w:val="0"/>
        <w:color w:val="231E22"/>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12931B6"/>
    <w:multiLevelType w:val="multilevel"/>
    <w:tmpl w:val="9CD4F712"/>
    <w:lvl w:ilvl="0">
      <w:start w:val="1"/>
      <w:numFmt w:val="bullet"/>
      <w:lvlText w:val="●"/>
      <w:lvlJc w:val="left"/>
      <w:pPr>
        <w:ind w:left="140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2120" w:hanging="360"/>
      </w:pPr>
      <w:rPr>
        <w:rFonts w:ascii="Arial" w:eastAsia="Arial" w:hAnsi="Arial" w:cs="Arial"/>
        <w:b w:val="0"/>
        <w:i w:val="0"/>
        <w:sz w:val="20"/>
        <w:szCs w:val="20"/>
      </w:rPr>
    </w:lvl>
    <w:lvl w:ilvl="2">
      <w:start w:val="1"/>
      <w:numFmt w:val="bullet"/>
      <w:lvlText w:val=""/>
      <w:lvlJc w:val="left"/>
      <w:pPr>
        <w:ind w:left="2840" w:hanging="360"/>
      </w:pPr>
      <w:rPr>
        <w:rFonts w:ascii="Arial" w:eastAsia="Arial" w:hAnsi="Arial" w:cs="Arial"/>
        <w:b w:val="0"/>
        <w:i w:val="0"/>
        <w:sz w:val="20"/>
        <w:szCs w:val="20"/>
      </w:rPr>
    </w:lvl>
    <w:lvl w:ilvl="3">
      <w:start w:val="1"/>
      <w:numFmt w:val="bullet"/>
      <w:lvlText w:val="●"/>
      <w:lvlJc w:val="left"/>
      <w:pPr>
        <w:ind w:left="3560" w:hanging="360"/>
      </w:pPr>
      <w:rPr>
        <w:rFonts w:ascii="Noto Sans Symbols" w:eastAsia="Noto Sans Symbols" w:hAnsi="Noto Sans Symbols" w:cs="Noto Sans Symbols"/>
      </w:rPr>
    </w:lvl>
    <w:lvl w:ilvl="4">
      <w:start w:val="1"/>
      <w:numFmt w:val="bullet"/>
      <w:lvlText w:val="o"/>
      <w:lvlJc w:val="left"/>
      <w:pPr>
        <w:ind w:left="4280" w:hanging="360"/>
      </w:pPr>
      <w:rPr>
        <w:rFonts w:ascii="Courier New" w:eastAsia="Courier New" w:hAnsi="Courier New" w:cs="Courier New"/>
      </w:rPr>
    </w:lvl>
    <w:lvl w:ilvl="5">
      <w:start w:val="1"/>
      <w:numFmt w:val="bullet"/>
      <w:lvlText w:val="▪"/>
      <w:lvlJc w:val="left"/>
      <w:pPr>
        <w:ind w:left="5000" w:hanging="360"/>
      </w:pPr>
      <w:rPr>
        <w:rFonts w:ascii="Noto Sans Symbols" w:eastAsia="Noto Sans Symbols" w:hAnsi="Noto Sans Symbols" w:cs="Noto Sans Symbols"/>
      </w:rPr>
    </w:lvl>
    <w:lvl w:ilvl="6">
      <w:start w:val="1"/>
      <w:numFmt w:val="bullet"/>
      <w:lvlText w:val="●"/>
      <w:lvlJc w:val="left"/>
      <w:pPr>
        <w:ind w:left="5720" w:hanging="360"/>
      </w:pPr>
      <w:rPr>
        <w:rFonts w:ascii="Noto Sans Symbols" w:eastAsia="Noto Sans Symbols" w:hAnsi="Noto Sans Symbols" w:cs="Noto Sans Symbols"/>
      </w:rPr>
    </w:lvl>
    <w:lvl w:ilvl="7">
      <w:start w:val="1"/>
      <w:numFmt w:val="bullet"/>
      <w:lvlText w:val="o"/>
      <w:lvlJc w:val="left"/>
      <w:pPr>
        <w:ind w:left="6440" w:hanging="360"/>
      </w:pPr>
      <w:rPr>
        <w:rFonts w:ascii="Courier New" w:eastAsia="Courier New" w:hAnsi="Courier New" w:cs="Courier New"/>
      </w:rPr>
    </w:lvl>
    <w:lvl w:ilvl="8">
      <w:start w:val="1"/>
      <w:numFmt w:val="bullet"/>
      <w:lvlText w:val="▪"/>
      <w:lvlJc w:val="left"/>
      <w:pPr>
        <w:ind w:left="7160" w:hanging="360"/>
      </w:pPr>
      <w:rPr>
        <w:rFonts w:ascii="Noto Sans Symbols" w:eastAsia="Noto Sans Symbols" w:hAnsi="Noto Sans Symbols" w:cs="Noto Sans Symbols"/>
      </w:rPr>
    </w:lvl>
  </w:abstractNum>
  <w:abstractNum w:abstractNumId="6" w15:restartNumberingAfterBreak="0">
    <w:nsid w:val="72B738E4"/>
    <w:multiLevelType w:val="multilevel"/>
    <w:tmpl w:val="2876BDD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75"/>
    <w:rsid w:val="00367175"/>
    <w:rsid w:val="00AA2D57"/>
    <w:rsid w:val="00DB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6E6C1"/>
  <w15:docId w15:val="{B6117E34-8898-4199-8F5C-ECCCBF80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after="40" w:line="288"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pPr>
      <w:jc w:val="center"/>
    </w:pPr>
    <w:rPr>
      <w:rFonts w:ascii="Arial" w:eastAsia="Arial" w:hAnsi="Arial" w:cs="Arial"/>
      <w:sz w:val="30"/>
      <w:szCs w:val="30"/>
    </w:rPr>
  </w:style>
  <w:style w:type="paragraph" w:customStyle="1" w:styleId="Vnbnnidung20">
    <w:name w:val="Văn bản nội dung (2)"/>
    <w:basedOn w:val="Normal"/>
    <w:link w:val="Vnbnnidung2"/>
    <w:pPr>
      <w:spacing w:line="228" w:lineRule="auto"/>
    </w:pPr>
    <w:rPr>
      <w:rFonts w:ascii="Arial" w:eastAsia="Arial" w:hAnsi="Arial" w:cs="Arial"/>
      <w:sz w:val="10"/>
      <w:szCs w:val="10"/>
    </w:rPr>
  </w:style>
  <w:style w:type="paragraph" w:customStyle="1" w:styleId="Vnbnnidung30">
    <w:name w:val="Văn bản nội dung (3)"/>
    <w:basedOn w:val="Normal"/>
    <w:link w:val="Vnbnnidung3"/>
    <w:pPr>
      <w:spacing w:after="40"/>
      <w:ind w:firstLine="480"/>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4y6Z1ovQzswj5Uolg4x1gwQqog==">CgMxLjA4AHIhMWVQYVpNVWNyaEdGQU1zaVNUeWZkUEc4RFpicXcyUnNy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762</Words>
  <Characters>4348</Characters>
  <Application>Microsoft Office Word</Application>
  <DocSecurity>0</DocSecurity>
  <Lines>36</Lines>
  <Paragraphs>10</Paragraphs>
  <ScaleCrop>false</ScaleCrop>
  <Company>Microsoft</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4</cp:revision>
  <dcterms:created xsi:type="dcterms:W3CDTF">2024-05-06T03:40:00Z</dcterms:created>
  <dcterms:modified xsi:type="dcterms:W3CDTF">2024-05-07T08:07:00Z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133cc4138e4c502dff3b26932e32a3fecd6cde9ce0241432dc6ca609bc81d261</vt:lpwstr>
  </property>
</Properties>
</file>