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E55" w:rsidRPr="009F64CF" w:rsidRDefault="009F64CF" w:rsidP="009F64CF">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DNT: Annual General Mandate 2024</w:t>
      </w:r>
    </w:p>
    <w:p w:rsidR="00761E55" w:rsidRPr="009F64CF" w:rsidRDefault="009F64CF" w:rsidP="009F64CF">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April 25, 2024, Dong </w:t>
      </w:r>
      <w:proofErr w:type="spellStart"/>
      <w:r>
        <w:rPr>
          <w:rFonts w:ascii="Arial" w:hAnsi="Arial"/>
          <w:color w:val="010000"/>
          <w:sz w:val="20"/>
        </w:rPr>
        <w:t>Nai</w:t>
      </w:r>
      <w:proofErr w:type="spellEnd"/>
      <w:r>
        <w:rPr>
          <w:rFonts w:ascii="Arial" w:hAnsi="Arial"/>
          <w:color w:val="010000"/>
          <w:sz w:val="20"/>
        </w:rPr>
        <w:t xml:space="preserve"> Tourist Joint Stock Company announced General Mandate No. 75/NQ-DHDCD as follows:</w:t>
      </w:r>
    </w:p>
    <w:p w:rsidR="00761E55" w:rsidRPr="009F64CF" w:rsidRDefault="009F64CF" w:rsidP="009F64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Report on the production and business results in 2023 and the Plan for 2024.</w:t>
      </w:r>
    </w:p>
    <w:p w:rsidR="00761E55" w:rsidRPr="009F64CF" w:rsidRDefault="009F64CF" w:rsidP="009F64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production and business results in 2023 and Plan for 2024</w:t>
      </w:r>
    </w:p>
    <w:p w:rsidR="00761E55" w:rsidRPr="009F64CF" w:rsidRDefault="009F64CF" w:rsidP="009F64C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Unit million VND</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8"/>
        <w:gridCol w:w="2335"/>
        <w:gridCol w:w="2950"/>
        <w:gridCol w:w="2994"/>
      </w:tblGrid>
      <w:tr w:rsidR="00761E55" w:rsidRPr="009F64CF" w:rsidTr="009F64CF">
        <w:trPr>
          <w:jc w:val="center"/>
        </w:trPr>
        <w:tc>
          <w:tcPr>
            <w:tcW w:w="409"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295"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1636"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Results 2023 </w:t>
            </w:r>
          </w:p>
        </w:tc>
        <w:tc>
          <w:tcPr>
            <w:tcW w:w="1660"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2024</w:t>
            </w:r>
          </w:p>
        </w:tc>
      </w:tr>
      <w:tr w:rsidR="00761E55" w:rsidRPr="009F64CF" w:rsidTr="009F64CF">
        <w:trPr>
          <w:jc w:val="center"/>
        </w:trPr>
        <w:tc>
          <w:tcPr>
            <w:tcW w:w="409"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295"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1636"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224,524</w:t>
            </w:r>
          </w:p>
        </w:tc>
        <w:tc>
          <w:tcPr>
            <w:tcW w:w="1660"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230,000</w:t>
            </w:r>
          </w:p>
        </w:tc>
      </w:tr>
      <w:tr w:rsidR="00761E55" w:rsidRPr="009F64CF" w:rsidTr="009F64CF">
        <w:trPr>
          <w:jc w:val="center"/>
        </w:trPr>
        <w:tc>
          <w:tcPr>
            <w:tcW w:w="409"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295"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expenses</w:t>
            </w:r>
          </w:p>
        </w:tc>
        <w:tc>
          <w:tcPr>
            <w:tcW w:w="1636"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213,031</w:t>
            </w:r>
          </w:p>
        </w:tc>
        <w:tc>
          <w:tcPr>
            <w:tcW w:w="1660"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219,000</w:t>
            </w:r>
          </w:p>
        </w:tc>
      </w:tr>
      <w:tr w:rsidR="00761E55" w:rsidRPr="009F64CF" w:rsidTr="009F64CF">
        <w:trPr>
          <w:jc w:val="center"/>
        </w:trPr>
        <w:tc>
          <w:tcPr>
            <w:tcW w:w="409"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295"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636"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11,492</w:t>
            </w:r>
          </w:p>
        </w:tc>
        <w:tc>
          <w:tcPr>
            <w:tcW w:w="1660"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11,000</w:t>
            </w:r>
          </w:p>
        </w:tc>
      </w:tr>
      <w:tr w:rsidR="00761E55" w:rsidRPr="009F64CF" w:rsidTr="009F64CF">
        <w:trPr>
          <w:jc w:val="center"/>
        </w:trPr>
        <w:tc>
          <w:tcPr>
            <w:tcW w:w="409"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295"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Dividends payment </w:t>
            </w:r>
          </w:p>
        </w:tc>
        <w:tc>
          <w:tcPr>
            <w:tcW w:w="1636"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660"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r>
    </w:tbl>
    <w:p w:rsidR="00761E55" w:rsidRPr="009F64CF" w:rsidRDefault="009F64CF" w:rsidP="009F64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2: Approve the Report of the Board of Directors on implementing General Mandates of the General Meeting of Shareholders 2023. </w:t>
      </w:r>
    </w:p>
    <w:p w:rsidR="00761E55" w:rsidRPr="009F64CF" w:rsidRDefault="009F64CF" w:rsidP="009F64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3: Approve the Report of the Supervisory Board on supervising results in 2023. </w:t>
      </w:r>
    </w:p>
    <w:p w:rsidR="00761E55" w:rsidRPr="009F64CF" w:rsidRDefault="009F64CF" w:rsidP="009F64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4: Approve the Proposal on profit distribution in 2023.</w:t>
      </w:r>
    </w:p>
    <w:p w:rsidR="00761E55" w:rsidRPr="009F64CF" w:rsidRDefault="009F64CF" w:rsidP="009F64CF">
      <w:pPr>
        <w:keepNext/>
        <w:numPr>
          <w:ilvl w:val="0"/>
          <w:numId w:val="3"/>
        </w:numPr>
        <w:pBdr>
          <w:top w:val="nil"/>
          <w:left w:val="nil"/>
          <w:bottom w:val="nil"/>
          <w:right w:val="nil"/>
          <w:between w:val="nil"/>
        </w:pBdr>
        <w:tabs>
          <w:tab w:val="left" w:pos="432"/>
          <w:tab w:val="left" w:pos="1113"/>
        </w:tabs>
        <w:spacing w:after="120" w:line="360" w:lineRule="auto"/>
        <w:rPr>
          <w:rFonts w:ascii="Arial" w:eastAsia="Arial" w:hAnsi="Arial" w:cs="Arial"/>
          <w:color w:val="010000"/>
          <w:sz w:val="20"/>
          <w:szCs w:val="20"/>
        </w:rPr>
      </w:pPr>
      <w:r>
        <w:rPr>
          <w:rFonts w:ascii="Arial" w:hAnsi="Arial"/>
          <w:color w:val="010000"/>
          <w:sz w:val="20"/>
        </w:rPr>
        <w:t>Profit distribution in 2023:</w:t>
      </w:r>
    </w:p>
    <w:p w:rsidR="00761E55" w:rsidRPr="009F64CF" w:rsidRDefault="009F64CF" w:rsidP="009F64CF">
      <w:pPr>
        <w:numPr>
          <w:ilvl w:val="1"/>
          <w:numId w:val="3"/>
        </w:numPr>
        <w:pBdr>
          <w:top w:val="nil"/>
          <w:left w:val="nil"/>
          <w:bottom w:val="nil"/>
          <w:right w:val="nil"/>
          <w:between w:val="nil"/>
        </w:pBdr>
        <w:tabs>
          <w:tab w:val="left" w:pos="432"/>
          <w:tab w:val="left" w:pos="1224"/>
          <w:tab w:val="left" w:pos="6153"/>
        </w:tabs>
        <w:spacing w:after="120" w:line="360" w:lineRule="auto"/>
        <w:rPr>
          <w:rFonts w:ascii="Arial" w:eastAsia="Arial" w:hAnsi="Arial" w:cs="Arial"/>
          <w:color w:val="010000"/>
          <w:sz w:val="20"/>
          <w:szCs w:val="20"/>
        </w:rPr>
      </w:pPr>
      <w:r>
        <w:rPr>
          <w:rFonts w:ascii="Arial" w:hAnsi="Arial"/>
          <w:color w:val="010000"/>
          <w:sz w:val="20"/>
        </w:rPr>
        <w:t>Total revenue: VND 224,524,645,142</w:t>
      </w:r>
    </w:p>
    <w:p w:rsidR="00761E55" w:rsidRPr="009F64CF" w:rsidRDefault="009F64CF" w:rsidP="009F64CF">
      <w:pPr>
        <w:numPr>
          <w:ilvl w:val="1"/>
          <w:numId w:val="3"/>
        </w:numPr>
        <w:pBdr>
          <w:top w:val="nil"/>
          <w:left w:val="nil"/>
          <w:bottom w:val="nil"/>
          <w:right w:val="nil"/>
          <w:between w:val="nil"/>
        </w:pBdr>
        <w:tabs>
          <w:tab w:val="left" w:pos="432"/>
          <w:tab w:val="left" w:pos="1224"/>
          <w:tab w:val="left" w:pos="6153"/>
        </w:tabs>
        <w:spacing w:after="120" w:line="360" w:lineRule="auto"/>
        <w:rPr>
          <w:rFonts w:ascii="Arial" w:eastAsia="Arial" w:hAnsi="Arial" w:cs="Arial"/>
          <w:color w:val="010000"/>
          <w:sz w:val="20"/>
          <w:szCs w:val="20"/>
        </w:rPr>
      </w:pPr>
      <w:r>
        <w:rPr>
          <w:rFonts w:ascii="Arial" w:hAnsi="Arial"/>
          <w:color w:val="010000"/>
          <w:sz w:val="20"/>
        </w:rPr>
        <w:t>Total expense (not including salary): VND 191,859,659,215</w:t>
      </w:r>
    </w:p>
    <w:p w:rsidR="00761E55" w:rsidRPr="009F64CF" w:rsidRDefault="009F64CF" w:rsidP="009F64CF">
      <w:pPr>
        <w:numPr>
          <w:ilvl w:val="1"/>
          <w:numId w:val="3"/>
        </w:numPr>
        <w:pBdr>
          <w:top w:val="nil"/>
          <w:left w:val="nil"/>
          <w:bottom w:val="nil"/>
          <w:right w:val="nil"/>
          <w:between w:val="nil"/>
        </w:pBdr>
        <w:tabs>
          <w:tab w:val="left" w:pos="432"/>
          <w:tab w:val="left" w:pos="1224"/>
          <w:tab w:val="left" w:pos="6153"/>
        </w:tabs>
        <w:spacing w:after="120" w:line="360" w:lineRule="auto"/>
        <w:rPr>
          <w:rFonts w:ascii="Arial" w:eastAsia="Arial" w:hAnsi="Arial" w:cs="Arial"/>
          <w:color w:val="010000"/>
          <w:sz w:val="20"/>
          <w:szCs w:val="20"/>
        </w:rPr>
      </w:pPr>
      <w:r>
        <w:rPr>
          <w:rFonts w:ascii="Arial" w:hAnsi="Arial"/>
          <w:color w:val="010000"/>
          <w:sz w:val="20"/>
        </w:rPr>
        <w:t>Salary: VND 21,172,258,008</w:t>
      </w:r>
    </w:p>
    <w:p w:rsidR="00761E55" w:rsidRPr="009F64CF" w:rsidRDefault="009F64CF" w:rsidP="009F64CF">
      <w:pPr>
        <w:numPr>
          <w:ilvl w:val="1"/>
          <w:numId w:val="3"/>
        </w:numPr>
        <w:pBdr>
          <w:top w:val="nil"/>
          <w:left w:val="nil"/>
          <w:bottom w:val="nil"/>
          <w:right w:val="nil"/>
          <w:between w:val="nil"/>
        </w:pBdr>
        <w:tabs>
          <w:tab w:val="left" w:pos="432"/>
          <w:tab w:val="left" w:pos="1231"/>
          <w:tab w:val="right" w:pos="6327"/>
          <w:tab w:val="right" w:pos="8048"/>
          <w:tab w:val="right" w:pos="8571"/>
        </w:tabs>
        <w:spacing w:after="120" w:line="360" w:lineRule="auto"/>
        <w:rPr>
          <w:rFonts w:ascii="Arial" w:eastAsia="Arial" w:hAnsi="Arial" w:cs="Arial"/>
          <w:color w:val="010000"/>
          <w:sz w:val="20"/>
          <w:szCs w:val="20"/>
        </w:rPr>
      </w:pPr>
      <w:r>
        <w:rPr>
          <w:rFonts w:ascii="Arial" w:hAnsi="Arial"/>
          <w:color w:val="010000"/>
          <w:sz w:val="20"/>
        </w:rPr>
        <w:t>Profit before tax: VND 11,492,727,919</w:t>
      </w:r>
    </w:p>
    <w:p w:rsidR="00761E55" w:rsidRPr="009F64CF" w:rsidRDefault="009F64CF" w:rsidP="009F64CF">
      <w:pPr>
        <w:numPr>
          <w:ilvl w:val="1"/>
          <w:numId w:val="3"/>
        </w:numPr>
        <w:pBdr>
          <w:top w:val="nil"/>
          <w:left w:val="nil"/>
          <w:bottom w:val="nil"/>
          <w:right w:val="nil"/>
          <w:between w:val="nil"/>
        </w:pBdr>
        <w:tabs>
          <w:tab w:val="left" w:pos="432"/>
          <w:tab w:val="left" w:pos="1231"/>
          <w:tab w:val="right" w:pos="6327"/>
          <w:tab w:val="right" w:pos="8048"/>
          <w:tab w:val="right" w:pos="8571"/>
        </w:tabs>
        <w:spacing w:after="120" w:line="360" w:lineRule="auto"/>
        <w:rPr>
          <w:rFonts w:ascii="Arial" w:eastAsia="Arial" w:hAnsi="Arial" w:cs="Arial"/>
          <w:color w:val="010000"/>
          <w:sz w:val="20"/>
          <w:szCs w:val="20"/>
        </w:rPr>
      </w:pPr>
      <w:r>
        <w:rPr>
          <w:rFonts w:ascii="Arial" w:hAnsi="Arial"/>
          <w:color w:val="010000"/>
          <w:sz w:val="20"/>
        </w:rPr>
        <w:t>Corporate income tax: VND 2,289,924,833</w:t>
      </w:r>
    </w:p>
    <w:p w:rsidR="00761E55" w:rsidRPr="009F64CF" w:rsidRDefault="009F64CF" w:rsidP="009F64CF">
      <w:pPr>
        <w:numPr>
          <w:ilvl w:val="1"/>
          <w:numId w:val="3"/>
        </w:numPr>
        <w:pBdr>
          <w:top w:val="nil"/>
          <w:left w:val="nil"/>
          <w:bottom w:val="nil"/>
          <w:right w:val="nil"/>
          <w:between w:val="nil"/>
        </w:pBdr>
        <w:tabs>
          <w:tab w:val="left" w:pos="432"/>
          <w:tab w:val="left" w:pos="1231"/>
          <w:tab w:val="right" w:pos="6327"/>
          <w:tab w:val="right" w:pos="8048"/>
          <w:tab w:val="right" w:pos="8571"/>
        </w:tabs>
        <w:spacing w:after="120" w:line="360" w:lineRule="auto"/>
        <w:rPr>
          <w:rFonts w:ascii="Arial" w:eastAsia="Arial" w:hAnsi="Arial" w:cs="Arial"/>
          <w:color w:val="010000"/>
          <w:sz w:val="20"/>
          <w:szCs w:val="20"/>
        </w:rPr>
      </w:pPr>
      <w:r>
        <w:rPr>
          <w:rFonts w:ascii="Arial" w:hAnsi="Arial"/>
          <w:color w:val="010000"/>
          <w:sz w:val="20"/>
        </w:rPr>
        <w:t>Profit after tax in 2023: VND 9,202,803,086</w:t>
      </w:r>
    </w:p>
    <w:p w:rsidR="00761E55" w:rsidRPr="009F64CF" w:rsidRDefault="009F64CF" w:rsidP="009F64CF">
      <w:pPr>
        <w:numPr>
          <w:ilvl w:val="1"/>
          <w:numId w:val="3"/>
        </w:numPr>
        <w:pBdr>
          <w:top w:val="nil"/>
          <w:left w:val="nil"/>
          <w:bottom w:val="nil"/>
          <w:right w:val="nil"/>
          <w:between w:val="nil"/>
        </w:pBdr>
        <w:tabs>
          <w:tab w:val="left" w:pos="432"/>
          <w:tab w:val="left" w:pos="1231"/>
          <w:tab w:val="right" w:pos="6327"/>
          <w:tab w:val="right" w:pos="8048"/>
          <w:tab w:val="right" w:pos="8571"/>
        </w:tabs>
        <w:spacing w:after="120" w:line="360" w:lineRule="auto"/>
        <w:rPr>
          <w:rFonts w:ascii="Arial" w:eastAsia="Arial" w:hAnsi="Arial" w:cs="Arial"/>
          <w:color w:val="010000"/>
          <w:sz w:val="20"/>
          <w:szCs w:val="20"/>
        </w:rPr>
      </w:pPr>
      <w:r>
        <w:rPr>
          <w:rFonts w:ascii="Arial" w:hAnsi="Arial"/>
          <w:color w:val="010000"/>
          <w:sz w:val="20"/>
        </w:rPr>
        <w:t>Appropriation for bonus and welfare fund in 2023: VND 5,139,661,302</w:t>
      </w:r>
    </w:p>
    <w:p w:rsidR="00761E55" w:rsidRPr="009F64CF" w:rsidRDefault="009F64CF" w:rsidP="009F64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which:</w:t>
      </w:r>
    </w:p>
    <w:p w:rsidR="00761E55" w:rsidRPr="009F64CF" w:rsidRDefault="009F64CF" w:rsidP="009F64C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Employees (3 </w:t>
      </w:r>
      <w:proofErr w:type="gramStart"/>
      <w:r>
        <w:rPr>
          <w:rFonts w:ascii="Arial" w:hAnsi="Arial"/>
          <w:color w:val="010000"/>
          <w:sz w:val="20"/>
        </w:rPr>
        <w:t>months</w:t>
      </w:r>
      <w:proofErr w:type="gramEnd"/>
      <w:r>
        <w:rPr>
          <w:rFonts w:ascii="Arial" w:hAnsi="Arial"/>
          <w:color w:val="010000"/>
          <w:sz w:val="20"/>
        </w:rPr>
        <w:t xml:space="preserve"> average salary): VND 4,986,258,102</w:t>
      </w:r>
    </w:p>
    <w:p w:rsidR="00761E55" w:rsidRPr="009F64CF" w:rsidRDefault="009F64CF" w:rsidP="009F64C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Executive Board (1.5 </w:t>
      </w:r>
      <w:proofErr w:type="gramStart"/>
      <w:r>
        <w:rPr>
          <w:rFonts w:ascii="Arial" w:hAnsi="Arial"/>
          <w:color w:val="010000"/>
          <w:sz w:val="20"/>
        </w:rPr>
        <w:t>months</w:t>
      </w:r>
      <w:proofErr w:type="gramEnd"/>
      <w:r>
        <w:rPr>
          <w:rFonts w:ascii="Arial" w:hAnsi="Arial"/>
          <w:color w:val="010000"/>
          <w:sz w:val="20"/>
        </w:rPr>
        <w:t xml:space="preserve"> average salary): VND 153,403,200</w:t>
      </w:r>
    </w:p>
    <w:p w:rsidR="00761E55" w:rsidRPr="009F64CF" w:rsidRDefault="009F64CF" w:rsidP="009F64CF">
      <w:pPr>
        <w:numPr>
          <w:ilvl w:val="1"/>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dividend rate in 2023 was 5%: VND 3,640,462,500</w:t>
      </w:r>
    </w:p>
    <w:p w:rsidR="00761E55" w:rsidRPr="009F64CF" w:rsidRDefault="009F64CF" w:rsidP="009F64CF">
      <w:pPr>
        <w:numPr>
          <w:ilvl w:val="1"/>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Undistributed profits in 2022: VND 289,041,667</w:t>
      </w:r>
    </w:p>
    <w:p w:rsidR="00761E55" w:rsidRPr="009F64CF" w:rsidRDefault="009F64CF" w:rsidP="009F64CF">
      <w:pPr>
        <w:numPr>
          <w:ilvl w:val="1"/>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Undistributed profits in 2023: VND 422,679,284</w:t>
      </w:r>
    </w:p>
    <w:p w:rsidR="00761E55" w:rsidRPr="009F64CF" w:rsidRDefault="009F64CF" w:rsidP="009F64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5: Approve the Proposal on production and</w:t>
      </w:r>
      <w:r w:rsidR="00B5079B">
        <w:rPr>
          <w:rFonts w:ascii="Arial" w:hAnsi="Arial"/>
          <w:color w:val="010000"/>
          <w:sz w:val="20"/>
        </w:rPr>
        <w:t xml:space="preserve"> business Plan for 2024 (Unit: </w:t>
      </w:r>
      <w:r>
        <w:rPr>
          <w:rFonts w:ascii="Arial" w:hAnsi="Arial"/>
          <w:color w:val="010000"/>
          <w:sz w:val="20"/>
        </w:rPr>
        <w:t>VND)</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25"/>
        <w:gridCol w:w="3592"/>
      </w:tblGrid>
      <w:tr w:rsidR="00761E55" w:rsidRPr="009F64CF" w:rsidTr="009F64CF">
        <w:trPr>
          <w:jc w:val="center"/>
        </w:trPr>
        <w:tc>
          <w:tcPr>
            <w:tcW w:w="3008"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Target</w:t>
            </w:r>
          </w:p>
        </w:tc>
        <w:tc>
          <w:tcPr>
            <w:tcW w:w="1992"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2024 Plan </w:t>
            </w:r>
          </w:p>
        </w:tc>
      </w:tr>
      <w:tr w:rsidR="00761E55" w:rsidRPr="009F64CF" w:rsidTr="009F64CF">
        <w:trPr>
          <w:jc w:val="center"/>
        </w:trPr>
        <w:tc>
          <w:tcPr>
            <w:tcW w:w="3008"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1992"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230,000</w:t>
            </w:r>
          </w:p>
        </w:tc>
      </w:tr>
      <w:tr w:rsidR="00761E55" w:rsidRPr="009F64CF" w:rsidTr="009F64CF">
        <w:trPr>
          <w:jc w:val="center"/>
        </w:trPr>
        <w:tc>
          <w:tcPr>
            <w:tcW w:w="3008"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expenses</w:t>
            </w:r>
          </w:p>
        </w:tc>
        <w:tc>
          <w:tcPr>
            <w:tcW w:w="1992"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219,000</w:t>
            </w:r>
          </w:p>
        </w:tc>
      </w:tr>
      <w:tr w:rsidR="00761E55" w:rsidRPr="009F64CF" w:rsidTr="009F64CF">
        <w:trPr>
          <w:jc w:val="center"/>
        </w:trPr>
        <w:tc>
          <w:tcPr>
            <w:tcW w:w="3008"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992"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11,000</w:t>
            </w:r>
          </w:p>
        </w:tc>
      </w:tr>
      <w:tr w:rsidR="00761E55" w:rsidRPr="009F64CF" w:rsidTr="009F64CF">
        <w:trPr>
          <w:jc w:val="center"/>
        </w:trPr>
        <w:tc>
          <w:tcPr>
            <w:tcW w:w="3008"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Dividends payment</w:t>
            </w:r>
          </w:p>
        </w:tc>
        <w:tc>
          <w:tcPr>
            <w:tcW w:w="1992" w:type="pct"/>
            <w:shd w:val="clear" w:color="auto" w:fill="auto"/>
            <w:tcMar>
              <w:top w:w="0" w:type="dxa"/>
              <w:bottom w:w="0" w:type="dxa"/>
            </w:tcMar>
            <w:vAlign w:val="center"/>
          </w:tcPr>
          <w:p w:rsidR="00761E55" w:rsidRPr="009F64CF" w:rsidRDefault="009F64CF" w:rsidP="009F64C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r>
    </w:tbl>
    <w:p w:rsidR="00761E55" w:rsidRPr="009F64CF" w:rsidRDefault="009F64CF" w:rsidP="009F64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Proposal on the settlement of the salary</w:t>
      </w:r>
      <w:r w:rsidR="00B5079B">
        <w:rPr>
          <w:rFonts w:ascii="Arial" w:hAnsi="Arial"/>
          <w:color w:val="010000"/>
          <w:sz w:val="20"/>
        </w:rPr>
        <w:t xml:space="preserve"> and remuneration of the Board </w:t>
      </w:r>
      <w:r>
        <w:rPr>
          <w:rFonts w:ascii="Arial" w:hAnsi="Arial"/>
          <w:color w:val="010000"/>
          <w:sz w:val="20"/>
        </w:rPr>
        <w:t>of Directors and the Supervisory Board in 2023.</w:t>
      </w:r>
    </w:p>
    <w:p w:rsidR="00761E55" w:rsidRPr="009F64CF" w:rsidRDefault="009F64CF" w:rsidP="009F64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Remuneration paid to the Board of Directors and the Supervisory Board in 2023: VND 579,000,000;</w:t>
      </w:r>
    </w:p>
    <w:p w:rsidR="00761E55" w:rsidRPr="009F64CF" w:rsidRDefault="009F64CF" w:rsidP="009F64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the Proposal on the remuneration estimate of the Board of Directors and the Supervisory Board in 2024:</w:t>
      </w:r>
    </w:p>
    <w:p w:rsidR="00761E55" w:rsidRPr="009F64CF" w:rsidRDefault="009F64CF" w:rsidP="009F64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salary and remuneration estimate of the Board of Directors and the Supervisory Board in 2024 is VND 540,000,000.</w:t>
      </w:r>
    </w:p>
    <w:p w:rsidR="00761E55" w:rsidRPr="009F64CF" w:rsidRDefault="009F64CF" w:rsidP="009F64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Approve the Proposal on transferring other capital targets of the owner to undistributed profits after tax and implement all dividend payments in 2024, according to the petition of the State Audit.</w:t>
      </w:r>
    </w:p>
    <w:p w:rsidR="00761E55" w:rsidRPr="009F64CF" w:rsidRDefault="009F64CF" w:rsidP="009F64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on transferring the owner’s other capital target of VND 5,902,986 to undistributed profit after tax and implementing all dividend payments for this undistributed profit after tax. Authorize the Board of Directors to pay 5% dividends to existing shareholders.</w:t>
      </w:r>
    </w:p>
    <w:p w:rsidR="00761E55" w:rsidRPr="009F64CF" w:rsidRDefault="009F64CF" w:rsidP="009F64CF">
      <w:pPr>
        <w:pBdr>
          <w:top w:val="nil"/>
          <w:left w:val="nil"/>
          <w:bottom w:val="nil"/>
          <w:right w:val="nil"/>
          <w:between w:val="nil"/>
        </w:pBdr>
        <w:tabs>
          <w:tab w:val="left" w:pos="432"/>
          <w:tab w:val="left" w:pos="9810"/>
        </w:tabs>
        <w:spacing w:after="120" w:line="360" w:lineRule="auto"/>
        <w:jc w:val="both"/>
        <w:rPr>
          <w:rFonts w:ascii="Arial" w:eastAsia="Arial" w:hAnsi="Arial" w:cs="Arial"/>
          <w:color w:val="010000"/>
          <w:sz w:val="20"/>
          <w:szCs w:val="20"/>
        </w:rPr>
      </w:pPr>
      <w:r>
        <w:rPr>
          <w:rFonts w:ascii="Arial" w:hAnsi="Arial"/>
          <w:color w:val="010000"/>
          <w:sz w:val="20"/>
        </w:rPr>
        <w:t xml:space="preserve">Article 9: Approve the Proposal on changing the company’s business lines.  </w:t>
      </w:r>
    </w:p>
    <w:p w:rsidR="00761E55" w:rsidRPr="009F64CF" w:rsidRDefault="009F64CF" w:rsidP="009F64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on authorizing the Board of Directors to implement procedures for changing business lines according to the content of the Proposal in accordance with the current provisions of law. </w:t>
      </w:r>
    </w:p>
    <w:p w:rsidR="00761E55" w:rsidRPr="009F64CF" w:rsidRDefault="009F64CF" w:rsidP="009F64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10: Approve the Audited Financial Statements 2023.</w:t>
      </w:r>
      <w:bookmarkStart w:id="0" w:name="_GoBack"/>
      <w:bookmarkEnd w:id="0"/>
    </w:p>
    <w:p w:rsidR="00761E55" w:rsidRPr="009F64CF" w:rsidRDefault="009F64CF" w:rsidP="009F64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11: Approve the Proposal on selecting the Audit Company in 2024.</w:t>
      </w:r>
    </w:p>
    <w:p w:rsidR="00761E55" w:rsidRPr="009F64CF" w:rsidRDefault="009F64CF" w:rsidP="009F64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Authorize the Board of Directors to decide on the selection of one of the auditing companies according to the proposal below of the Supervisory Board and assign the General Manager of the Company to sign a contract for auditing services for the Financial Statements 2024 of the Company.</w:t>
      </w:r>
    </w:p>
    <w:p w:rsidR="00761E55" w:rsidRPr="009F64CF" w:rsidRDefault="009F64CF" w:rsidP="009F64CF">
      <w:pPr>
        <w:numPr>
          <w:ilvl w:val="0"/>
          <w:numId w:val="1"/>
        </w:numPr>
        <w:pBdr>
          <w:top w:val="nil"/>
          <w:left w:val="nil"/>
          <w:bottom w:val="nil"/>
          <w:right w:val="nil"/>
          <w:between w:val="nil"/>
        </w:pBdr>
        <w:tabs>
          <w:tab w:val="left" w:pos="432"/>
          <w:tab w:val="left" w:pos="1017"/>
        </w:tabs>
        <w:spacing w:after="120" w:line="360" w:lineRule="auto"/>
        <w:jc w:val="both"/>
        <w:rPr>
          <w:rFonts w:ascii="Arial" w:eastAsia="Arial" w:hAnsi="Arial" w:cs="Arial"/>
          <w:color w:val="010000"/>
          <w:sz w:val="20"/>
          <w:szCs w:val="20"/>
        </w:rPr>
      </w:pPr>
      <w:r>
        <w:rPr>
          <w:rFonts w:ascii="Arial" w:hAnsi="Arial"/>
          <w:color w:val="010000"/>
          <w:sz w:val="20"/>
        </w:rPr>
        <w:t>DTL Auditing Company</w:t>
      </w:r>
    </w:p>
    <w:p w:rsidR="00761E55" w:rsidRPr="009F64CF" w:rsidRDefault="009F64CF" w:rsidP="009F64CF">
      <w:pPr>
        <w:numPr>
          <w:ilvl w:val="0"/>
          <w:numId w:val="1"/>
        </w:numPr>
        <w:pBdr>
          <w:top w:val="nil"/>
          <w:left w:val="nil"/>
          <w:bottom w:val="nil"/>
          <w:right w:val="nil"/>
          <w:between w:val="nil"/>
        </w:pBdr>
        <w:tabs>
          <w:tab w:val="left" w:pos="432"/>
          <w:tab w:val="left" w:pos="1053"/>
        </w:tabs>
        <w:spacing w:after="120" w:line="360" w:lineRule="auto"/>
        <w:jc w:val="both"/>
        <w:rPr>
          <w:rFonts w:ascii="Arial" w:eastAsia="Arial" w:hAnsi="Arial" w:cs="Arial"/>
          <w:color w:val="010000"/>
          <w:sz w:val="20"/>
          <w:szCs w:val="20"/>
        </w:rPr>
      </w:pPr>
      <w:r>
        <w:rPr>
          <w:rFonts w:ascii="Arial" w:hAnsi="Arial"/>
          <w:color w:val="010000"/>
          <w:sz w:val="20"/>
        </w:rPr>
        <w:t>A&amp;C Auditing and Consulting Company Limited</w:t>
      </w:r>
    </w:p>
    <w:p w:rsidR="00761E55" w:rsidRPr="009F64CF" w:rsidRDefault="009F64CF" w:rsidP="009F64CF">
      <w:pPr>
        <w:numPr>
          <w:ilvl w:val="0"/>
          <w:numId w:val="1"/>
        </w:numPr>
        <w:pBdr>
          <w:top w:val="nil"/>
          <w:left w:val="nil"/>
          <w:bottom w:val="nil"/>
          <w:right w:val="nil"/>
          <w:between w:val="nil"/>
        </w:pBdr>
        <w:tabs>
          <w:tab w:val="left" w:pos="432"/>
          <w:tab w:val="left" w:pos="1066"/>
        </w:tabs>
        <w:spacing w:after="120" w:line="360" w:lineRule="auto"/>
        <w:rPr>
          <w:rFonts w:ascii="Arial" w:eastAsia="Arial" w:hAnsi="Arial" w:cs="Arial"/>
          <w:color w:val="010000"/>
          <w:sz w:val="20"/>
          <w:szCs w:val="20"/>
        </w:rPr>
      </w:pPr>
      <w:r>
        <w:rPr>
          <w:rFonts w:ascii="Arial" w:hAnsi="Arial"/>
          <w:color w:val="010000"/>
          <w:sz w:val="20"/>
        </w:rPr>
        <w:t>AASC Auditing Firm Company Limited</w:t>
      </w:r>
    </w:p>
    <w:p w:rsidR="00761E55" w:rsidRPr="009F64CF" w:rsidRDefault="009F64CF" w:rsidP="009F64CF">
      <w:pPr>
        <w:numPr>
          <w:ilvl w:val="0"/>
          <w:numId w:val="1"/>
        </w:numPr>
        <w:pBdr>
          <w:top w:val="nil"/>
          <w:left w:val="nil"/>
          <w:bottom w:val="nil"/>
          <w:right w:val="nil"/>
          <w:between w:val="nil"/>
        </w:pBdr>
        <w:tabs>
          <w:tab w:val="left" w:pos="432"/>
          <w:tab w:val="left" w:pos="1066"/>
        </w:tabs>
        <w:spacing w:after="120" w:line="360" w:lineRule="auto"/>
        <w:jc w:val="both"/>
        <w:rPr>
          <w:rFonts w:ascii="Arial" w:eastAsia="Arial" w:hAnsi="Arial" w:cs="Arial"/>
          <w:color w:val="010000"/>
          <w:sz w:val="20"/>
          <w:szCs w:val="20"/>
        </w:rPr>
      </w:pPr>
      <w:r>
        <w:rPr>
          <w:rFonts w:ascii="Arial" w:hAnsi="Arial"/>
          <w:color w:val="010000"/>
          <w:sz w:val="20"/>
        </w:rPr>
        <w:t>AFC Vietnam Auditing Company Limited</w:t>
      </w:r>
    </w:p>
    <w:p w:rsidR="00761E55" w:rsidRPr="009F64CF" w:rsidRDefault="009F64CF" w:rsidP="009F64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12: The General Mandate was approved by the Annual General Meeting of Shareholders 2024 of Dong </w:t>
      </w:r>
      <w:proofErr w:type="spellStart"/>
      <w:r>
        <w:rPr>
          <w:rFonts w:ascii="Arial" w:hAnsi="Arial"/>
          <w:color w:val="010000"/>
          <w:sz w:val="20"/>
        </w:rPr>
        <w:t>Nai</w:t>
      </w:r>
      <w:proofErr w:type="spellEnd"/>
      <w:r>
        <w:rPr>
          <w:rFonts w:ascii="Arial" w:hAnsi="Arial"/>
          <w:color w:val="010000"/>
          <w:sz w:val="20"/>
        </w:rPr>
        <w:t xml:space="preserve"> Tourist Joint Stock Company and takes effect from April 25, 2024. All shareholders, the Board of Directors, the supervisory Board, the Board of Managers, and all staffs of Dong </w:t>
      </w:r>
      <w:proofErr w:type="spellStart"/>
      <w:r>
        <w:rPr>
          <w:rFonts w:ascii="Arial" w:hAnsi="Arial"/>
          <w:color w:val="010000"/>
          <w:sz w:val="20"/>
        </w:rPr>
        <w:t>Nai</w:t>
      </w:r>
      <w:proofErr w:type="spellEnd"/>
      <w:r>
        <w:rPr>
          <w:rFonts w:ascii="Arial" w:hAnsi="Arial"/>
          <w:color w:val="010000"/>
          <w:sz w:val="20"/>
        </w:rPr>
        <w:t xml:space="preserve"> Tourist Joint Stock Company are responsible for implementing this General Mandate. </w:t>
      </w:r>
    </w:p>
    <w:sectPr w:rsidR="00761E55" w:rsidRPr="009F64CF" w:rsidSect="009F64C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A46A0"/>
    <w:multiLevelType w:val="multilevel"/>
    <w:tmpl w:val="55EE0AA0"/>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1E1836"/>
    <w:multiLevelType w:val="multilevel"/>
    <w:tmpl w:val="161C811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1F80ECB"/>
    <w:multiLevelType w:val="multilevel"/>
    <w:tmpl w:val="8A5C50F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55"/>
    <w:rsid w:val="00761E55"/>
    <w:rsid w:val="009F64CF"/>
    <w:rsid w:val="00B5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9E898"/>
  <w15:docId w15:val="{A5B5AB49-50BD-4A5D-92F0-0E23796F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D42A43"/>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D42A43"/>
      <w:sz w:val="16"/>
      <w:szCs w:val="1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8B3544"/>
      <w:sz w:val="32"/>
      <w:szCs w:val="32"/>
      <w:u w:val="none"/>
      <w:shd w:val="clear" w:color="auto" w:fill="auto"/>
    </w:rPr>
  </w:style>
  <w:style w:type="paragraph" w:customStyle="1" w:styleId="Vnbnnidung0">
    <w:name w:val="Văn bản nội dung"/>
    <w:basedOn w:val="Normal"/>
    <w:link w:val="Vnbnnidung"/>
    <w:pPr>
      <w:spacing w:after="60" w:line="307"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spacing w:after="100"/>
      <w:jc w:val="right"/>
    </w:pPr>
    <w:rPr>
      <w:rFonts w:ascii="Times New Roman" w:eastAsia="Times New Roman" w:hAnsi="Times New Roman" w:cs="Times New Roman"/>
      <w:color w:val="D42A43"/>
      <w:sz w:val="20"/>
      <w:szCs w:val="20"/>
    </w:rPr>
  </w:style>
  <w:style w:type="paragraph" w:customStyle="1" w:styleId="Vnbnnidung30">
    <w:name w:val="Văn bản nội dung (3)"/>
    <w:basedOn w:val="Normal"/>
    <w:link w:val="Vnbnnidung3"/>
    <w:pPr>
      <w:spacing w:line="226" w:lineRule="auto"/>
      <w:jc w:val="right"/>
    </w:pPr>
    <w:rPr>
      <w:rFonts w:ascii="Times New Roman" w:eastAsia="Times New Roman" w:hAnsi="Times New Roman" w:cs="Times New Roman"/>
      <w:color w:val="D42A43"/>
      <w:sz w:val="16"/>
      <w:szCs w:val="16"/>
    </w:rPr>
  </w:style>
  <w:style w:type="paragraph" w:customStyle="1" w:styleId="Tiu20">
    <w:name w:val="Tiêu đề #2"/>
    <w:basedOn w:val="Normal"/>
    <w:link w:val="Tiu2"/>
    <w:pPr>
      <w:spacing w:after="30"/>
      <w:jc w:val="center"/>
      <w:outlineLvl w:val="1"/>
    </w:pPr>
    <w:rPr>
      <w:rFonts w:ascii="Times New Roman" w:eastAsia="Times New Roman" w:hAnsi="Times New Roman" w:cs="Times New Roman"/>
      <w:b/>
      <w:bCs/>
    </w:rPr>
  </w:style>
  <w:style w:type="paragraph" w:customStyle="1" w:styleId="Chthchbng0">
    <w:name w:val="Chú thích bảng"/>
    <w:basedOn w:val="Normal"/>
    <w:link w:val="Chthchbng"/>
    <w:pPr>
      <w:spacing w:after="40"/>
      <w:ind w:firstLine="660"/>
    </w:pPr>
    <w:rPr>
      <w:rFonts w:ascii="Times New Roman" w:eastAsia="Times New Roman" w:hAnsi="Times New Roman" w:cs="Times New Roman"/>
      <w:i/>
      <w:iCs/>
    </w:rPr>
  </w:style>
  <w:style w:type="paragraph" w:customStyle="1" w:styleId="Khc0">
    <w:name w:val="Khác"/>
    <w:basedOn w:val="Normal"/>
    <w:link w:val="Khc"/>
    <w:pPr>
      <w:spacing w:after="60" w:line="307" w:lineRule="auto"/>
      <w:ind w:firstLine="400"/>
    </w:pPr>
    <w:rPr>
      <w:rFonts w:ascii="Times New Roman" w:eastAsia="Times New Roman" w:hAnsi="Times New Roman" w:cs="Times New Roman"/>
    </w:rPr>
  </w:style>
  <w:style w:type="paragraph" w:customStyle="1" w:styleId="Tiu10">
    <w:name w:val="Tiêu đề #1"/>
    <w:basedOn w:val="Normal"/>
    <w:link w:val="Tiu1"/>
    <w:pPr>
      <w:spacing w:after="400" w:line="146" w:lineRule="auto"/>
      <w:ind w:left="2300" w:firstLine="100"/>
      <w:outlineLvl w:val="0"/>
    </w:pPr>
    <w:rPr>
      <w:rFonts w:ascii="Arial" w:eastAsia="Arial" w:hAnsi="Arial" w:cs="Arial"/>
      <w:color w:val="8B3544"/>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wtoYgtPWM9pxFONTLG0J692gTQ==">CgMxLjA4AHIhMV9xeF9FdmNqLXlRNjZUUW9HZjNGQ1pqZFplZzBGZ0s4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557</Words>
  <Characters>3176</Characters>
  <Application>Microsoft Office Word</Application>
  <DocSecurity>0</DocSecurity>
  <Lines>26</Lines>
  <Paragraphs>7</Paragraphs>
  <ScaleCrop>false</ScaleCrop>
  <Company>Microsoft</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4</cp:revision>
  <dcterms:created xsi:type="dcterms:W3CDTF">2024-05-06T03:53:00Z</dcterms:created>
  <dcterms:modified xsi:type="dcterms:W3CDTF">2024-05-07T08:03:00Z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55a7d75155d6c86586279418901559e00e2fb05513dcf5fbe0906df58b84c21e</vt:lpwstr>
  </property>
</Properties>
</file>