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AFF71" w14:textId="77777777" w:rsidR="00F64064" w:rsidRDefault="009932FE" w:rsidP="00E761FF">
      <w:pP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>
        <w:rPr>
          <w:rFonts w:ascii="Arial" w:hAnsi="Arial"/>
          <w:b/>
          <w:color w:val="010000"/>
          <w:sz w:val="20"/>
        </w:rPr>
        <w:t>GLW: Annual General Mandate 2024</w:t>
      </w:r>
    </w:p>
    <w:p w14:paraId="04168A77" w14:textId="76EEC600" w:rsidR="00F64064" w:rsidRDefault="00E761FF" w:rsidP="00E761F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On April 26</w:t>
      </w:r>
      <w:r w:rsidR="009932FE">
        <w:rPr>
          <w:rFonts w:ascii="Arial" w:hAnsi="Arial"/>
          <w:color w:val="010000"/>
          <w:sz w:val="20"/>
        </w:rPr>
        <w:t xml:space="preserve">, 2024, </w:t>
      </w:r>
      <w:proofErr w:type="spellStart"/>
      <w:r w:rsidR="009932FE">
        <w:rPr>
          <w:rFonts w:ascii="Arial" w:hAnsi="Arial"/>
          <w:color w:val="010000"/>
          <w:sz w:val="20"/>
        </w:rPr>
        <w:t>Gia</w:t>
      </w:r>
      <w:proofErr w:type="spellEnd"/>
      <w:r w:rsidR="009932FE">
        <w:rPr>
          <w:rFonts w:ascii="Arial" w:hAnsi="Arial"/>
          <w:color w:val="010000"/>
          <w:sz w:val="20"/>
        </w:rPr>
        <w:t xml:space="preserve"> Lai Water Supply Sewerage Joint Stock Company announced General Mandate No. 02/2024/NQ-DHDCD as follows: </w:t>
      </w:r>
    </w:p>
    <w:p w14:paraId="6FCAA6BB" w14:textId="77777777" w:rsidR="00F64064" w:rsidRDefault="009932FE" w:rsidP="00E761F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‎‎Article 1. Approve the Report on production and business results 2023 and the plan 2024 of the Board of Directors.</w:t>
      </w:r>
    </w:p>
    <w:p w14:paraId="4C6B5A48" w14:textId="77777777" w:rsidR="00F64064" w:rsidRDefault="009932FE" w:rsidP="00E761F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‎‎Article 2. Approve the Report on production and business results 2023 and the plan 2024 of the Executive Board.</w:t>
      </w:r>
    </w:p>
    <w:p w14:paraId="4D7349DB" w14:textId="7F8E9C0C" w:rsidR="00F64064" w:rsidRDefault="00E761FF" w:rsidP="00E761F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P</w:t>
      </w:r>
      <w:r w:rsidR="009932FE">
        <w:rPr>
          <w:rFonts w:ascii="Arial" w:hAnsi="Arial"/>
          <w:color w:val="010000"/>
          <w:sz w:val="20"/>
        </w:rPr>
        <w:t>roduction and business results 2023:</w:t>
      </w:r>
    </w:p>
    <w:tbl>
      <w:tblPr>
        <w:tblStyle w:val="a"/>
        <w:tblW w:w="9017" w:type="dxa"/>
        <w:tblLayout w:type="fixed"/>
        <w:tblLook w:val="0000" w:firstRow="0" w:lastRow="0" w:firstColumn="0" w:lastColumn="0" w:noHBand="0" w:noVBand="0"/>
      </w:tblPr>
      <w:tblGrid>
        <w:gridCol w:w="2350"/>
        <w:gridCol w:w="1033"/>
        <w:gridCol w:w="1306"/>
        <w:gridCol w:w="1156"/>
        <w:gridCol w:w="1120"/>
        <w:gridCol w:w="1010"/>
        <w:gridCol w:w="1042"/>
      </w:tblGrid>
      <w:tr w:rsidR="00F64064" w14:paraId="704F0520" w14:textId="77777777">
        <w:tc>
          <w:tcPr>
            <w:tcW w:w="2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E53E42" w14:textId="77777777" w:rsidR="00F64064" w:rsidRDefault="00F64064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9252CE" w14:textId="77777777" w:rsidR="00F64064" w:rsidRDefault="00F64064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7F60BC" w14:textId="77777777" w:rsidR="00F64064" w:rsidRDefault="00F64064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AED31B" w14:textId="77777777" w:rsidR="00F64064" w:rsidRDefault="009932FE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2023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5E57F3D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Comparison</w:t>
            </w:r>
          </w:p>
        </w:tc>
      </w:tr>
      <w:tr w:rsidR="00F64064" w14:paraId="6484A71A" w14:textId="77777777">
        <w:tc>
          <w:tcPr>
            <w:tcW w:w="23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2847EC8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Target</w:t>
            </w:r>
          </w:p>
        </w:tc>
        <w:tc>
          <w:tcPr>
            <w:tcW w:w="103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0096B2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Unit</w:t>
            </w: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A214EA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2022 Results</w:t>
            </w:r>
          </w:p>
          <w:p w14:paraId="02091E38" w14:textId="77777777" w:rsidR="00F64064" w:rsidRDefault="00F64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D8E937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Results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77B687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Plan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A237D3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2023 Results/2022 Results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44913C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2023 Results/2023 Plan</w:t>
            </w:r>
          </w:p>
        </w:tc>
      </w:tr>
      <w:tr w:rsidR="00F64064" w14:paraId="15E3A1F1" w14:textId="77777777">
        <w:tc>
          <w:tcPr>
            <w:tcW w:w="2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0B7765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Sale volume of clean water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2F04D8F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m3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DC480F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6,598,230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C52A83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7,077,509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FCACDE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6,988,990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80B337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107%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681467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101%</w:t>
            </w:r>
          </w:p>
        </w:tc>
      </w:tr>
      <w:tr w:rsidR="00F64064" w14:paraId="0F700B23" w14:textId="77777777">
        <w:tc>
          <w:tcPr>
            <w:tcW w:w="2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C84AF4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Average price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F05985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VND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A705DB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7.283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B98616D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7.410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FDE5549" w14:textId="77777777" w:rsidR="00F64064" w:rsidRDefault="009932FE" w:rsidP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7.461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7A9E52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102%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189098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99%</w:t>
            </w:r>
          </w:p>
        </w:tc>
      </w:tr>
      <w:tr w:rsidR="00F64064" w14:paraId="1F6AD53E" w14:textId="77777777">
        <w:tc>
          <w:tcPr>
            <w:tcW w:w="2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67F130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Loss rate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9CB679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%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5111958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38.2%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06398E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36.3%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5DAEEB3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28%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B043B5E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95%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C66662F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130%</w:t>
            </w:r>
          </w:p>
        </w:tc>
      </w:tr>
      <w:tr w:rsidR="00F64064" w14:paraId="06E981A7" w14:textId="77777777">
        <w:tc>
          <w:tcPr>
            <w:tcW w:w="2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837FE4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TOTAL REVENUE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CE3BE6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Billion VND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DCB9E1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62.12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D39F9D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62.55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9F30B1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63.02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1BA3EE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101%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6CD30D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99%</w:t>
            </w:r>
          </w:p>
        </w:tc>
      </w:tr>
      <w:tr w:rsidR="00F64064" w14:paraId="41A993D9" w14:textId="77777777">
        <w:tc>
          <w:tcPr>
            <w:tcW w:w="2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1F94AC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Revenue from clean water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975C62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VND Billion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BFE388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48.10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88C0A2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52.44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52D3BA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2.16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916E59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109%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4315D6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101%</w:t>
            </w:r>
          </w:p>
        </w:tc>
      </w:tr>
      <w:tr w:rsidR="00F64064" w14:paraId="6E4FB842" w14:textId="77777777">
        <w:tc>
          <w:tcPr>
            <w:tcW w:w="2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99D542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Revenue from construction and installation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5970E42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Billion VND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0AC62E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6.51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B61A222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6.27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95E0DE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6.44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E0A1C7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96%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AB3652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97%</w:t>
            </w:r>
          </w:p>
        </w:tc>
      </w:tr>
      <w:tr w:rsidR="00F64064" w14:paraId="7F44EE1A" w14:textId="77777777">
        <w:tc>
          <w:tcPr>
            <w:tcW w:w="2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5CBF54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Revenue from water supply system relocation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24BD07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Billion VND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748245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5.61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B66AE9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1.18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3017F4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13C509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21%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7A9222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59%</w:t>
            </w:r>
          </w:p>
        </w:tc>
      </w:tr>
      <w:tr w:rsidR="00F64064" w14:paraId="4CC32FA7" w14:textId="77777777">
        <w:tc>
          <w:tcPr>
            <w:tcW w:w="2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6F4DCA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Revenue from financial activities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307F90D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Billion VND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EA4A2D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1.45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2C941C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2.17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F3AE871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1.89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F3EAAD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149%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57ECE74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114%</w:t>
            </w:r>
          </w:p>
        </w:tc>
      </w:tr>
      <w:tr w:rsidR="00F64064" w14:paraId="69419633" w14:textId="77777777">
        <w:tc>
          <w:tcPr>
            <w:tcW w:w="2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07E8A4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Other revenue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574C6A8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Billion VND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BF5BDDF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0.45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81FF9C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0.50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F37D738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0.52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48471F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110%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BDD70EA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95%</w:t>
            </w:r>
          </w:p>
        </w:tc>
      </w:tr>
      <w:tr w:rsidR="00F64064" w14:paraId="1AB419F4" w14:textId="77777777">
        <w:tc>
          <w:tcPr>
            <w:tcW w:w="2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2C1086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TOTAL EXPENSE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82B107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Billion VND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5CE5D45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54.02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DCE021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56.98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8F3771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57.47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4EC1CB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105%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6D571F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99%</w:t>
            </w:r>
          </w:p>
        </w:tc>
      </w:tr>
      <w:tr w:rsidR="00F64064" w14:paraId="37A55355" w14:textId="77777777">
        <w:tc>
          <w:tcPr>
            <w:tcW w:w="2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546961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Profit before tax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5B6981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Billion VND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4EB6DB4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8.11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DC6530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5.58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22B144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5.55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F73479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69%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A4FDB1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100%</w:t>
            </w:r>
          </w:p>
        </w:tc>
      </w:tr>
      <w:tr w:rsidR="00F64064" w14:paraId="1D923892" w14:textId="77777777">
        <w:tc>
          <w:tcPr>
            <w:tcW w:w="2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7AAA29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Current corporate income tax expense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DECF44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Billion VND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C264E1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1.68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A4EB46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1.19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E2A69D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1.17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1E81C4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71%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26526E7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102%</w:t>
            </w:r>
          </w:p>
        </w:tc>
      </w:tr>
      <w:tr w:rsidR="00F64064" w14:paraId="48332EFB" w14:textId="77777777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910BEA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Profit after tax</w:t>
            </w:r>
          </w:p>
          <w:p w14:paraId="1082BF71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lastRenderedPageBreak/>
              <w:t>tax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2F704B5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lastRenderedPageBreak/>
              <w:t>Billion VND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7C3F23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6.43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8F0214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4.39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4F7403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4.38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225A27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68%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EE95373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100%</w:t>
            </w:r>
          </w:p>
        </w:tc>
      </w:tr>
    </w:tbl>
    <w:p w14:paraId="6E9E229B" w14:textId="77777777" w:rsidR="00F64064" w:rsidRDefault="009932F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lastRenderedPageBreak/>
        <w:t>The Production and business plan 2024</w:t>
      </w:r>
    </w:p>
    <w:tbl>
      <w:tblPr>
        <w:tblStyle w:val="a0"/>
        <w:tblW w:w="90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5"/>
        <w:gridCol w:w="909"/>
        <w:gridCol w:w="1600"/>
        <w:gridCol w:w="1719"/>
        <w:gridCol w:w="1854"/>
      </w:tblGrid>
      <w:tr w:rsidR="00F64064" w14:paraId="3CB2177E" w14:textId="77777777">
        <w:trPr>
          <w:jc w:val="center"/>
        </w:trPr>
        <w:tc>
          <w:tcPr>
            <w:tcW w:w="293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A282D4" w14:textId="77777777" w:rsidR="00F64064" w:rsidRDefault="00F64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  <w:p w14:paraId="4C81D5DB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Target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BF62068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Unit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C45F433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2024 Plan</w:t>
            </w:r>
          </w:p>
        </w:tc>
        <w:tc>
          <w:tcPr>
            <w:tcW w:w="171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2B607C4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2023 Results</w:t>
            </w:r>
          </w:p>
        </w:tc>
        <w:tc>
          <w:tcPr>
            <w:tcW w:w="18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54CFBB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Comparison of 2024 plan/2023 results</w:t>
            </w:r>
          </w:p>
        </w:tc>
      </w:tr>
      <w:tr w:rsidR="00F64064" w14:paraId="09B77135" w14:textId="77777777">
        <w:trPr>
          <w:jc w:val="center"/>
        </w:trPr>
        <w:tc>
          <w:tcPr>
            <w:tcW w:w="293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3C1F75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Sale volume of clean water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8F8772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m3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4C063E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7,425,193</w:t>
            </w:r>
          </w:p>
        </w:tc>
        <w:tc>
          <w:tcPr>
            <w:tcW w:w="171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984CAB" w14:textId="77777777" w:rsidR="00F64064" w:rsidRDefault="009932FE" w:rsidP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7,077,509</w:t>
            </w:r>
          </w:p>
        </w:tc>
        <w:tc>
          <w:tcPr>
            <w:tcW w:w="18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C2154A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104.90%</w:t>
            </w:r>
          </w:p>
        </w:tc>
      </w:tr>
      <w:tr w:rsidR="00F64064" w14:paraId="3D15D047" w14:textId="77777777">
        <w:trPr>
          <w:jc w:val="center"/>
        </w:trPr>
        <w:tc>
          <w:tcPr>
            <w:tcW w:w="293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7EB001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Average price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330794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VND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B6A437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8.594</w:t>
            </w:r>
          </w:p>
        </w:tc>
        <w:tc>
          <w:tcPr>
            <w:tcW w:w="171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C69797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7.410</w:t>
            </w:r>
          </w:p>
        </w:tc>
        <w:tc>
          <w:tcPr>
            <w:tcW w:w="18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2B24BE0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116.00%</w:t>
            </w:r>
          </w:p>
        </w:tc>
      </w:tr>
      <w:tr w:rsidR="00F64064" w14:paraId="0563E911" w14:textId="77777777">
        <w:trPr>
          <w:jc w:val="center"/>
        </w:trPr>
        <w:tc>
          <w:tcPr>
            <w:tcW w:w="293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E41009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Loss rate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047CD63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%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9F1792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28.93%</w:t>
            </w:r>
          </w:p>
        </w:tc>
        <w:tc>
          <w:tcPr>
            <w:tcW w:w="171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B581640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36.30%</w:t>
            </w:r>
          </w:p>
        </w:tc>
        <w:tc>
          <w:tcPr>
            <w:tcW w:w="18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5A89C4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79.70%</w:t>
            </w:r>
          </w:p>
        </w:tc>
      </w:tr>
      <w:tr w:rsidR="00F64064" w14:paraId="12049C13" w14:textId="77777777">
        <w:trPr>
          <w:jc w:val="center"/>
        </w:trPr>
        <w:tc>
          <w:tcPr>
            <w:tcW w:w="293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F0E1E1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TOTAL REVENUE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165121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Billion VND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33110A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74.65</w:t>
            </w:r>
          </w:p>
        </w:tc>
        <w:tc>
          <w:tcPr>
            <w:tcW w:w="171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121935C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62.55</w:t>
            </w:r>
          </w:p>
        </w:tc>
        <w:tc>
          <w:tcPr>
            <w:tcW w:w="18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01F0B63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119.30%</w:t>
            </w:r>
          </w:p>
        </w:tc>
      </w:tr>
      <w:tr w:rsidR="00F64064" w14:paraId="0311D3C1" w14:textId="77777777">
        <w:trPr>
          <w:jc w:val="center"/>
        </w:trPr>
        <w:tc>
          <w:tcPr>
            <w:tcW w:w="293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E446D7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TOTAL EXPENSE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17E79F4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Billion VND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1942EE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60.73</w:t>
            </w:r>
          </w:p>
        </w:tc>
        <w:tc>
          <w:tcPr>
            <w:tcW w:w="171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2994A1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56.98</w:t>
            </w:r>
          </w:p>
        </w:tc>
        <w:tc>
          <w:tcPr>
            <w:tcW w:w="18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37BB1A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106.60%</w:t>
            </w:r>
          </w:p>
        </w:tc>
      </w:tr>
      <w:tr w:rsidR="00F64064" w14:paraId="6720D8ED" w14:textId="77777777">
        <w:trPr>
          <w:jc w:val="center"/>
        </w:trPr>
        <w:tc>
          <w:tcPr>
            <w:tcW w:w="293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F53787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Profit before tax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601A87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Billion VND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E6676A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13.92</w:t>
            </w:r>
          </w:p>
        </w:tc>
        <w:tc>
          <w:tcPr>
            <w:tcW w:w="171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1A1416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5.58</w:t>
            </w:r>
          </w:p>
        </w:tc>
        <w:tc>
          <w:tcPr>
            <w:tcW w:w="18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81943D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249.60%</w:t>
            </w:r>
          </w:p>
        </w:tc>
      </w:tr>
      <w:tr w:rsidR="00F64064" w14:paraId="47BFF9B6" w14:textId="77777777">
        <w:trPr>
          <w:jc w:val="center"/>
        </w:trPr>
        <w:tc>
          <w:tcPr>
            <w:tcW w:w="293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22EE418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Current corporate income tax expense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F1716C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Billion VND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98E3B9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2.78</w:t>
            </w:r>
          </w:p>
        </w:tc>
        <w:tc>
          <w:tcPr>
            <w:tcW w:w="171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C64FF7C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1.19</w:t>
            </w:r>
          </w:p>
        </w:tc>
        <w:tc>
          <w:tcPr>
            <w:tcW w:w="18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A9F244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233.90%</w:t>
            </w:r>
          </w:p>
        </w:tc>
      </w:tr>
      <w:tr w:rsidR="00F64064" w14:paraId="2111A47B" w14:textId="77777777">
        <w:trPr>
          <w:jc w:val="center"/>
        </w:trPr>
        <w:tc>
          <w:tcPr>
            <w:tcW w:w="293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DBA13F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Profit after tax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C5B777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Billion VND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1C384F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11.13</w:t>
            </w:r>
          </w:p>
        </w:tc>
        <w:tc>
          <w:tcPr>
            <w:tcW w:w="171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A8EDA4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4.39</w:t>
            </w:r>
          </w:p>
        </w:tc>
        <w:tc>
          <w:tcPr>
            <w:tcW w:w="18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B1763C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253.80%</w:t>
            </w:r>
          </w:p>
        </w:tc>
      </w:tr>
      <w:tr w:rsidR="00F64064" w14:paraId="3782615A" w14:textId="77777777">
        <w:trPr>
          <w:jc w:val="center"/>
        </w:trPr>
        <w:tc>
          <w:tcPr>
            <w:tcW w:w="293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DFBD81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Dividend</w:t>
            </w:r>
          </w:p>
        </w:tc>
        <w:tc>
          <w:tcPr>
            <w:tcW w:w="6082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75C7E4" w14:textId="412EEECD" w:rsidR="00F64064" w:rsidRDefault="009932FE" w:rsidP="00E76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The dividends of 2024 will be decided by the Annual General Meeting 2025.</w:t>
            </w:r>
          </w:p>
        </w:tc>
      </w:tr>
    </w:tbl>
    <w:p w14:paraId="1FDD8659" w14:textId="77777777" w:rsidR="00F64064" w:rsidRDefault="009932F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‎‎Article 3. Approve the Report on the activities 2023 of the Supervisory Board.</w:t>
      </w:r>
    </w:p>
    <w:p w14:paraId="1077D735" w14:textId="77777777" w:rsidR="00F64064" w:rsidRDefault="009932F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‎‎Article 4. Approve the Audited Financial Statements 2023 of the Company.</w:t>
      </w:r>
    </w:p>
    <w:p w14:paraId="6087BBAF" w14:textId="77777777" w:rsidR="00F64064" w:rsidRDefault="009932F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‎‎Article 5. Approve the Plan on profit distribution 2023, remuneration payment 2023 for the Board of Director, the Supervisory Board and the 2024 plan. </w:t>
      </w:r>
    </w:p>
    <w:p w14:paraId="52380197" w14:textId="77777777" w:rsidR="00F64064" w:rsidRDefault="009932F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The Profit </w:t>
      </w:r>
      <w:proofErr w:type="gramStart"/>
      <w:r>
        <w:rPr>
          <w:rFonts w:ascii="Arial" w:hAnsi="Arial"/>
          <w:color w:val="010000"/>
          <w:sz w:val="20"/>
        </w:rPr>
        <w:t>distribution</w:t>
      </w:r>
      <w:proofErr w:type="gramEnd"/>
      <w:r>
        <w:rPr>
          <w:rFonts w:ascii="Arial" w:hAnsi="Arial"/>
          <w:color w:val="010000"/>
          <w:sz w:val="20"/>
        </w:rPr>
        <w:t xml:space="preserve"> Plan 2023</w:t>
      </w:r>
    </w:p>
    <w:tbl>
      <w:tblPr>
        <w:tblStyle w:val="a1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5102"/>
        <w:gridCol w:w="803"/>
        <w:gridCol w:w="2543"/>
      </w:tblGrid>
      <w:tr w:rsidR="00F64064" w14:paraId="0EA3292C" w14:textId="77777777">
        <w:tc>
          <w:tcPr>
            <w:tcW w:w="56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A1CF9A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No.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A6274D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Content</w:t>
            </w:r>
          </w:p>
        </w:tc>
        <w:tc>
          <w:tcPr>
            <w:tcW w:w="80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3EA572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Unit</w:t>
            </w:r>
          </w:p>
        </w:tc>
        <w:tc>
          <w:tcPr>
            <w:tcW w:w="254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25DAC2D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2023 Results</w:t>
            </w:r>
          </w:p>
        </w:tc>
      </w:tr>
      <w:tr w:rsidR="00F64064" w14:paraId="4C42EA9D" w14:textId="77777777">
        <w:tc>
          <w:tcPr>
            <w:tcW w:w="56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6F22FA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69D87D1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Revenue from goods sales and service provision</w:t>
            </w:r>
          </w:p>
        </w:tc>
        <w:tc>
          <w:tcPr>
            <w:tcW w:w="80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704333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VND</w:t>
            </w:r>
          </w:p>
        </w:tc>
        <w:tc>
          <w:tcPr>
            <w:tcW w:w="254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CEF969" w14:textId="77777777" w:rsidR="00F64064" w:rsidRDefault="009932FE" w:rsidP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58,712,857,419</w:t>
            </w:r>
          </w:p>
        </w:tc>
      </w:tr>
      <w:tr w:rsidR="00F64064" w14:paraId="7A3548B8" w14:textId="77777777">
        <w:tc>
          <w:tcPr>
            <w:tcW w:w="56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2F6F17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9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C587F8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Total profit before tax</w:t>
            </w:r>
          </w:p>
        </w:tc>
        <w:tc>
          <w:tcPr>
            <w:tcW w:w="80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FDFAEE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VND</w:t>
            </w:r>
          </w:p>
        </w:tc>
        <w:tc>
          <w:tcPr>
            <w:tcW w:w="254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903B07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5,576,502,408</w:t>
            </w:r>
          </w:p>
        </w:tc>
      </w:tr>
      <w:tr w:rsidR="00F64064" w14:paraId="08ED68FE" w14:textId="77777777">
        <w:tc>
          <w:tcPr>
            <w:tcW w:w="56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933A3A1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3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D19458E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Profit after corporate income tax</w:t>
            </w:r>
          </w:p>
        </w:tc>
        <w:tc>
          <w:tcPr>
            <w:tcW w:w="80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8E5245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VND</w:t>
            </w:r>
          </w:p>
        </w:tc>
        <w:tc>
          <w:tcPr>
            <w:tcW w:w="254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7F6FA4E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4,386,356,060</w:t>
            </w:r>
          </w:p>
        </w:tc>
      </w:tr>
      <w:tr w:rsidR="00F64064" w14:paraId="60B007AA" w14:textId="77777777">
        <w:tc>
          <w:tcPr>
            <w:tcW w:w="56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E185E8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4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DAE082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Accumulated profit 2023</w:t>
            </w:r>
          </w:p>
        </w:tc>
        <w:tc>
          <w:tcPr>
            <w:tcW w:w="80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BE3C327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VND</w:t>
            </w:r>
          </w:p>
        </w:tc>
        <w:tc>
          <w:tcPr>
            <w:tcW w:w="254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BC28689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6,882,005,595</w:t>
            </w:r>
          </w:p>
        </w:tc>
      </w:tr>
      <w:tr w:rsidR="00F64064" w14:paraId="69814457" w14:textId="77777777">
        <w:tc>
          <w:tcPr>
            <w:tcW w:w="56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22F30D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D321F3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Profit distribution 2023</w:t>
            </w:r>
          </w:p>
        </w:tc>
        <w:tc>
          <w:tcPr>
            <w:tcW w:w="80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CA3428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VND</w:t>
            </w:r>
          </w:p>
        </w:tc>
        <w:tc>
          <w:tcPr>
            <w:tcW w:w="254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3FA3F3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5,619,317,803</w:t>
            </w:r>
          </w:p>
        </w:tc>
      </w:tr>
      <w:tr w:rsidR="00F64064" w14:paraId="3107EB2C" w14:textId="77777777">
        <w:tc>
          <w:tcPr>
            <w:tcW w:w="56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27BE1C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5.1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B4FF5A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2023 Dividend (3% of the charter capital in cash)</w:t>
            </w:r>
          </w:p>
        </w:tc>
        <w:tc>
          <w:tcPr>
            <w:tcW w:w="80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B50EF8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VND</w:t>
            </w:r>
          </w:p>
        </w:tc>
        <w:tc>
          <w:tcPr>
            <w:tcW w:w="254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10BE975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5,400,000,000</w:t>
            </w:r>
          </w:p>
        </w:tc>
      </w:tr>
      <w:tr w:rsidR="00F64064" w14:paraId="26CD1CA7" w14:textId="77777777">
        <w:tc>
          <w:tcPr>
            <w:tcW w:w="56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D5BD45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lastRenderedPageBreak/>
              <w:t>5.2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DCAC213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Appropriation for bonus and welfare funds (5% of profit after tax 2023)</w:t>
            </w:r>
          </w:p>
        </w:tc>
        <w:tc>
          <w:tcPr>
            <w:tcW w:w="80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845414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VND</w:t>
            </w:r>
          </w:p>
        </w:tc>
        <w:tc>
          <w:tcPr>
            <w:tcW w:w="254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D9A62CC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219,317,803</w:t>
            </w:r>
          </w:p>
        </w:tc>
      </w:tr>
      <w:tr w:rsidR="00F64064" w14:paraId="55FDCA5C" w14:textId="77777777">
        <w:tc>
          <w:tcPr>
            <w:tcW w:w="56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5D105EA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6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DCB447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Profit transferred to the next year</w:t>
            </w:r>
          </w:p>
        </w:tc>
        <w:tc>
          <w:tcPr>
            <w:tcW w:w="80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3FCF291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VND</w:t>
            </w:r>
          </w:p>
        </w:tc>
        <w:tc>
          <w:tcPr>
            <w:tcW w:w="254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F2784C" w14:textId="77777777" w:rsidR="00F64064" w:rsidRDefault="0099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1,262,687,792</w:t>
            </w:r>
          </w:p>
        </w:tc>
      </w:tr>
    </w:tbl>
    <w:p w14:paraId="04490198" w14:textId="77777777" w:rsidR="00F64064" w:rsidRDefault="009932F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Article 6. Approve the selection of audit company for auditing the Financial Statements 2023 of the Company.</w:t>
      </w:r>
    </w:p>
    <w:p w14:paraId="7FCED358" w14:textId="77777777" w:rsidR="00F64064" w:rsidRDefault="009932F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‎‎Article 7. Approve the production and business plan 2024 of the Company. </w:t>
      </w:r>
    </w:p>
    <w:p w14:paraId="3C8EE0D6" w14:textId="13B56E22" w:rsidR="00F64064" w:rsidRDefault="009932F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‎‎Article 8. This </w:t>
      </w:r>
      <w:r w:rsidR="000C277E">
        <w:rPr>
          <w:rFonts w:ascii="Arial" w:hAnsi="Arial"/>
          <w:color w:val="010000"/>
          <w:sz w:val="20"/>
        </w:rPr>
        <w:t>General Mandate</w:t>
      </w:r>
      <w:r>
        <w:rPr>
          <w:rFonts w:ascii="Arial" w:hAnsi="Arial"/>
          <w:color w:val="010000"/>
          <w:sz w:val="20"/>
        </w:rPr>
        <w:t xml:space="preserve"> takes effect from the date of its si</w:t>
      </w:r>
      <w:r w:rsidR="00E761FF">
        <w:rPr>
          <w:rFonts w:ascii="Arial" w:hAnsi="Arial"/>
          <w:color w:val="010000"/>
          <w:sz w:val="20"/>
        </w:rPr>
        <w:t xml:space="preserve">gning. The Board of Directors, </w:t>
      </w:r>
      <w:bookmarkStart w:id="0" w:name="_GoBack"/>
      <w:bookmarkEnd w:id="0"/>
      <w:r>
        <w:rPr>
          <w:rFonts w:ascii="Arial" w:hAnsi="Arial"/>
          <w:color w:val="010000"/>
          <w:sz w:val="20"/>
        </w:rPr>
        <w:t>Executive Board and relevant people are responsible for implementing this General Mandate.</w:t>
      </w:r>
    </w:p>
    <w:p w14:paraId="505453F9" w14:textId="77777777" w:rsidR="00F64064" w:rsidRDefault="00F64064">
      <w:pP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</w:p>
    <w:p w14:paraId="4E265651" w14:textId="77777777" w:rsidR="00F64064" w:rsidRDefault="00F6406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</w:p>
    <w:sectPr w:rsidR="00F64064">
      <w:pgSz w:w="11907" w:h="16839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64"/>
    <w:rsid w:val="000C277E"/>
    <w:rsid w:val="009932FE"/>
    <w:rsid w:val="00E761FF"/>
    <w:rsid w:val="00F6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13437"/>
  <w15:docId w15:val="{6D420EB3-0C40-41A0-BBDC-6EFF96E2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/>
      <w:bCs/>
      <w:i w:val="0"/>
      <w:iCs w:val="0"/>
      <w:smallCaps w:val="0"/>
      <w:strike w:val="0"/>
      <w:color w:val="C3828E"/>
      <w:w w:val="60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3828E"/>
      <w:sz w:val="12"/>
      <w:szCs w:val="12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64" w:lineRule="auto"/>
    </w:pPr>
    <w:rPr>
      <w:rFonts w:ascii="Times New Roman" w:eastAsia="Times New Roman" w:hAnsi="Times New Roman" w:cs="Times New Roman"/>
    </w:rPr>
  </w:style>
  <w:style w:type="paragraph" w:customStyle="1" w:styleId="Tiu10">
    <w:name w:val="Tiêu đề #1"/>
    <w:basedOn w:val="Normal"/>
    <w:link w:val="Tiu1"/>
    <w:pPr>
      <w:spacing w:after="40" w:line="307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Vnbnnidung50">
    <w:name w:val="Văn bản nội dung (5)"/>
    <w:basedOn w:val="Normal"/>
    <w:link w:val="Vnbnnidung5"/>
    <w:rPr>
      <w:rFonts w:ascii="Arial" w:eastAsia="Arial" w:hAnsi="Arial" w:cs="Arial"/>
      <w:b/>
      <w:bCs/>
      <w:color w:val="C3828E"/>
      <w:w w:val="60"/>
    </w:rPr>
  </w:style>
  <w:style w:type="paragraph" w:customStyle="1" w:styleId="Vnbnnidung40">
    <w:name w:val="Văn bản nội dung (4)"/>
    <w:basedOn w:val="Normal"/>
    <w:link w:val="Vnbnnidung4"/>
    <w:pPr>
      <w:jc w:val="center"/>
    </w:pPr>
    <w:rPr>
      <w:rFonts w:ascii="Arial" w:eastAsia="Arial" w:hAnsi="Arial" w:cs="Arial"/>
      <w:sz w:val="18"/>
      <w:szCs w:val="18"/>
    </w:rPr>
  </w:style>
  <w:style w:type="paragraph" w:customStyle="1" w:styleId="Vnbnnidung20">
    <w:name w:val="Văn bản nội dung (2)"/>
    <w:basedOn w:val="Normal"/>
    <w:link w:val="Vnbnnidung2"/>
    <w:pPr>
      <w:spacing w:line="199" w:lineRule="auto"/>
    </w:pPr>
    <w:rPr>
      <w:rFonts w:ascii="Arial" w:eastAsia="Arial" w:hAnsi="Arial" w:cs="Arial"/>
      <w:sz w:val="8"/>
      <w:szCs w:val="8"/>
    </w:rPr>
  </w:style>
  <w:style w:type="paragraph" w:customStyle="1" w:styleId="Khc0">
    <w:name w:val="Khác"/>
    <w:basedOn w:val="Normal"/>
    <w:link w:val="Khc"/>
    <w:pPr>
      <w:spacing w:line="264" w:lineRule="auto"/>
    </w:pPr>
    <w:rPr>
      <w:rFonts w:ascii="Times New Roman" w:eastAsia="Times New Roman" w:hAnsi="Times New Roman" w:cs="Times New Roman"/>
    </w:rPr>
  </w:style>
  <w:style w:type="paragraph" w:customStyle="1" w:styleId="Chthchbng0">
    <w:name w:val="Chú thích bảng"/>
    <w:basedOn w:val="Normal"/>
    <w:link w:val="Chthchbng"/>
    <w:pPr>
      <w:spacing w:line="262" w:lineRule="auto"/>
    </w:pPr>
    <w:rPr>
      <w:rFonts w:ascii="Times New Roman" w:eastAsia="Times New Roman" w:hAnsi="Times New Roman" w:cs="Times New Roman"/>
    </w:rPr>
  </w:style>
  <w:style w:type="paragraph" w:customStyle="1" w:styleId="Vnbnnidung60">
    <w:name w:val="Văn bản nội dung (6)"/>
    <w:basedOn w:val="Normal"/>
    <w:link w:val="Vnbnnidung6"/>
    <w:rPr>
      <w:rFonts w:ascii="Times New Roman" w:eastAsia="Times New Roman" w:hAnsi="Times New Roman" w:cs="Times New Roman"/>
      <w:color w:val="C3828E"/>
      <w:sz w:val="12"/>
      <w:szCs w:val="12"/>
    </w:rPr>
  </w:style>
  <w:style w:type="paragraph" w:customStyle="1" w:styleId="Vnbnnidung30">
    <w:name w:val="Văn bản nội dung (3)"/>
    <w:basedOn w:val="Normal"/>
    <w:link w:val="Vnbnnidung3"/>
    <w:pPr>
      <w:spacing w:after="170" w:line="197" w:lineRule="auto"/>
    </w:pPr>
    <w:rPr>
      <w:rFonts w:ascii="Times New Roman" w:eastAsia="Times New Roman" w:hAnsi="Times New Roman" w:cs="Times New Roman"/>
      <w:sz w:val="17"/>
      <w:szCs w:val="17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Egbr2l/CYfImLCvywp9IqLrmVA==">CgMxLjA4AHIhMTlxNGpWTldURVlYbVdCbGlidFBkV1BKTU9IT05yUUht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2024-05-07T03:59:00Z</dcterms:created>
  <dcterms:modified xsi:type="dcterms:W3CDTF">2024-05-07T03:59:00Z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0aa82b5ac2b463e479249e708f2c94a0b8528075fe4cec8d92b4984991981e96</vt:lpwstr>
  </property>
</Properties>
</file>