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8982" w14:textId="77777777" w:rsidR="003D6470" w:rsidRPr="004074CD" w:rsidRDefault="0036417F" w:rsidP="00CC757B">
      <w:pPr>
        <w:tabs>
          <w:tab w:val="left" w:pos="432"/>
        </w:tabs>
        <w:spacing w:after="120" w:line="360" w:lineRule="auto"/>
        <w:jc w:val="both"/>
        <w:rPr>
          <w:rFonts w:ascii="Arial" w:eastAsia="Arial" w:hAnsi="Arial" w:cs="Arial"/>
          <w:b/>
          <w:color w:val="010000"/>
          <w:sz w:val="20"/>
          <w:szCs w:val="20"/>
        </w:rPr>
      </w:pPr>
      <w:r w:rsidRPr="004074CD">
        <w:rPr>
          <w:rFonts w:ascii="Arial" w:hAnsi="Arial" w:cs="Arial"/>
          <w:b/>
          <w:color w:val="010000"/>
          <w:sz w:val="20"/>
          <w:szCs w:val="20"/>
        </w:rPr>
        <w:t>GND: Annual General Mandate 2024</w:t>
      </w:r>
    </w:p>
    <w:p w14:paraId="6B8E3CFB"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 xml:space="preserve">On April 25, 2024, Dong </w:t>
      </w:r>
      <w:proofErr w:type="spellStart"/>
      <w:r w:rsidRPr="004074CD">
        <w:rPr>
          <w:rFonts w:ascii="Arial" w:hAnsi="Arial" w:cs="Arial"/>
          <w:color w:val="010000"/>
          <w:sz w:val="20"/>
          <w:szCs w:val="20"/>
        </w:rPr>
        <w:t>Nai</w:t>
      </w:r>
      <w:proofErr w:type="spellEnd"/>
      <w:r w:rsidRPr="004074CD">
        <w:rPr>
          <w:rFonts w:ascii="Arial" w:hAnsi="Arial" w:cs="Arial"/>
          <w:color w:val="010000"/>
          <w:sz w:val="20"/>
          <w:szCs w:val="20"/>
        </w:rPr>
        <w:t xml:space="preserve"> Brick </w:t>
      </w:r>
      <w:proofErr w:type="gramStart"/>
      <w:r w:rsidRPr="004074CD">
        <w:rPr>
          <w:rFonts w:ascii="Arial" w:hAnsi="Arial" w:cs="Arial"/>
          <w:color w:val="010000"/>
          <w:sz w:val="20"/>
          <w:szCs w:val="20"/>
        </w:rPr>
        <w:t>And</w:t>
      </w:r>
      <w:proofErr w:type="gramEnd"/>
      <w:r w:rsidRPr="004074CD">
        <w:rPr>
          <w:rFonts w:ascii="Arial" w:hAnsi="Arial" w:cs="Arial"/>
          <w:color w:val="010000"/>
          <w:sz w:val="20"/>
          <w:szCs w:val="20"/>
        </w:rPr>
        <w:t xml:space="preserve"> Tile Corporation announced General Mandate No. 26-2024/NQ-DHDCD as follows:</w:t>
      </w:r>
    </w:p>
    <w:p w14:paraId="4AC65395"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‎‎Article 1. Approve the Production and Business Operation Report 2023 and the Production and Business Plan 2024</w:t>
      </w:r>
      <w:r w:rsidRPr="004074CD">
        <w:rPr>
          <w:rFonts w:ascii="Arial" w:hAnsi="Arial" w:cs="Arial"/>
          <w:color w:val="010000"/>
          <w:sz w:val="20"/>
          <w:szCs w:val="20"/>
        </w:rPr>
        <w:br/>
        <w:t>The General Meeting unanimously approved the company's business operation report 2023 and production and business plan 2024 as follows:</w:t>
      </w:r>
    </w:p>
    <w:p w14:paraId="35815245" w14:textId="77777777" w:rsidR="003D6470" w:rsidRPr="004074CD" w:rsidRDefault="0036417F" w:rsidP="0036417F">
      <w:pPr>
        <w:keepNext/>
        <w:numPr>
          <w:ilvl w:val="0"/>
          <w:numId w:val="8"/>
        </w:numPr>
        <w:pBdr>
          <w:top w:val="nil"/>
          <w:left w:val="nil"/>
          <w:bottom w:val="nil"/>
          <w:right w:val="nil"/>
          <w:between w:val="nil"/>
        </w:pBdr>
        <w:tabs>
          <w:tab w:val="left" w:pos="432"/>
          <w:tab w:val="left" w:pos="878"/>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Production and business results in 2023:</w:t>
      </w:r>
    </w:p>
    <w:p w14:paraId="3D3E046C" w14:textId="77777777" w:rsidR="003D6470" w:rsidRPr="004074CD" w:rsidRDefault="0036417F" w:rsidP="0036417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074CD">
        <w:rPr>
          <w:rFonts w:ascii="Arial" w:hAnsi="Arial" w:cs="Arial"/>
          <w:color w:val="010000"/>
          <w:sz w:val="20"/>
          <w:szCs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
        <w:gridCol w:w="3078"/>
        <w:gridCol w:w="2395"/>
        <w:gridCol w:w="2822"/>
      </w:tblGrid>
      <w:tr w:rsidR="003D6470" w:rsidRPr="004074CD" w14:paraId="706ACEE7" w14:textId="77777777" w:rsidTr="0036417F">
        <w:tc>
          <w:tcPr>
            <w:tcW w:w="400" w:type="pct"/>
            <w:shd w:val="clear" w:color="auto" w:fill="auto"/>
            <w:tcMar>
              <w:top w:w="0" w:type="dxa"/>
              <w:bottom w:w="0" w:type="dxa"/>
            </w:tcMar>
            <w:vAlign w:val="center"/>
          </w:tcPr>
          <w:p w14:paraId="0F3C7788"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No.</w:t>
            </w:r>
          </w:p>
        </w:tc>
        <w:tc>
          <w:tcPr>
            <w:tcW w:w="1707" w:type="pct"/>
            <w:shd w:val="clear" w:color="auto" w:fill="auto"/>
            <w:tcMar>
              <w:top w:w="0" w:type="dxa"/>
              <w:bottom w:w="0" w:type="dxa"/>
            </w:tcMar>
            <w:vAlign w:val="center"/>
          </w:tcPr>
          <w:p w14:paraId="1DC25D26"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Targets</w:t>
            </w:r>
          </w:p>
        </w:tc>
        <w:tc>
          <w:tcPr>
            <w:tcW w:w="1328" w:type="pct"/>
            <w:shd w:val="clear" w:color="auto" w:fill="auto"/>
            <w:tcMar>
              <w:top w:w="0" w:type="dxa"/>
              <w:bottom w:w="0" w:type="dxa"/>
            </w:tcMar>
            <w:vAlign w:val="center"/>
          </w:tcPr>
          <w:p w14:paraId="447C2BE2"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Plan 2023</w:t>
            </w:r>
          </w:p>
        </w:tc>
        <w:tc>
          <w:tcPr>
            <w:tcW w:w="1565" w:type="pct"/>
            <w:shd w:val="clear" w:color="auto" w:fill="auto"/>
            <w:tcMar>
              <w:top w:w="0" w:type="dxa"/>
              <w:bottom w:w="0" w:type="dxa"/>
            </w:tcMar>
            <w:vAlign w:val="center"/>
          </w:tcPr>
          <w:p w14:paraId="6AAC55F7"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Results 2023</w:t>
            </w:r>
          </w:p>
        </w:tc>
      </w:tr>
      <w:tr w:rsidR="003D6470" w:rsidRPr="004074CD" w14:paraId="147293C7" w14:textId="77777777" w:rsidTr="0036417F">
        <w:tc>
          <w:tcPr>
            <w:tcW w:w="400" w:type="pct"/>
            <w:shd w:val="clear" w:color="auto" w:fill="auto"/>
            <w:tcMar>
              <w:top w:w="0" w:type="dxa"/>
              <w:bottom w:w="0" w:type="dxa"/>
            </w:tcMar>
            <w:vAlign w:val="center"/>
          </w:tcPr>
          <w:p w14:paraId="4C905C84"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1</w:t>
            </w:r>
          </w:p>
        </w:tc>
        <w:tc>
          <w:tcPr>
            <w:tcW w:w="1707" w:type="pct"/>
            <w:shd w:val="clear" w:color="auto" w:fill="auto"/>
            <w:tcMar>
              <w:top w:w="0" w:type="dxa"/>
              <w:bottom w:w="0" w:type="dxa"/>
            </w:tcMar>
            <w:vAlign w:val="center"/>
          </w:tcPr>
          <w:p w14:paraId="593A23AC"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Total revenue</w:t>
            </w:r>
          </w:p>
        </w:tc>
        <w:tc>
          <w:tcPr>
            <w:tcW w:w="1328" w:type="pct"/>
            <w:shd w:val="clear" w:color="auto" w:fill="auto"/>
            <w:tcMar>
              <w:top w:w="0" w:type="dxa"/>
              <w:bottom w:w="0" w:type="dxa"/>
            </w:tcMar>
            <w:vAlign w:val="center"/>
          </w:tcPr>
          <w:p w14:paraId="267750A8"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230,000</w:t>
            </w:r>
          </w:p>
        </w:tc>
        <w:tc>
          <w:tcPr>
            <w:tcW w:w="1565" w:type="pct"/>
            <w:shd w:val="clear" w:color="auto" w:fill="auto"/>
            <w:tcMar>
              <w:top w:w="0" w:type="dxa"/>
              <w:bottom w:w="0" w:type="dxa"/>
            </w:tcMar>
            <w:vAlign w:val="center"/>
          </w:tcPr>
          <w:p w14:paraId="4A5E0855"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247,439</w:t>
            </w:r>
          </w:p>
        </w:tc>
      </w:tr>
      <w:tr w:rsidR="003D6470" w:rsidRPr="004074CD" w14:paraId="31B9D60F" w14:textId="77777777" w:rsidTr="0036417F">
        <w:tc>
          <w:tcPr>
            <w:tcW w:w="400" w:type="pct"/>
            <w:shd w:val="clear" w:color="auto" w:fill="auto"/>
            <w:tcMar>
              <w:top w:w="0" w:type="dxa"/>
              <w:bottom w:w="0" w:type="dxa"/>
            </w:tcMar>
            <w:vAlign w:val="center"/>
          </w:tcPr>
          <w:p w14:paraId="0A9BE62E"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w:t>
            </w:r>
          </w:p>
        </w:tc>
        <w:tc>
          <w:tcPr>
            <w:tcW w:w="1707" w:type="pct"/>
            <w:shd w:val="clear" w:color="auto" w:fill="auto"/>
            <w:tcMar>
              <w:top w:w="0" w:type="dxa"/>
              <w:bottom w:w="0" w:type="dxa"/>
            </w:tcMar>
            <w:vAlign w:val="center"/>
          </w:tcPr>
          <w:p w14:paraId="19DA1E9F"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Profit before tax:</w:t>
            </w:r>
          </w:p>
        </w:tc>
        <w:tc>
          <w:tcPr>
            <w:tcW w:w="1328" w:type="pct"/>
            <w:shd w:val="clear" w:color="auto" w:fill="auto"/>
            <w:tcMar>
              <w:top w:w="0" w:type="dxa"/>
              <w:bottom w:w="0" w:type="dxa"/>
            </w:tcMar>
            <w:vAlign w:val="center"/>
          </w:tcPr>
          <w:p w14:paraId="5FD57E2B"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30,035</w:t>
            </w:r>
          </w:p>
        </w:tc>
        <w:tc>
          <w:tcPr>
            <w:tcW w:w="1565" w:type="pct"/>
            <w:shd w:val="clear" w:color="auto" w:fill="auto"/>
            <w:tcMar>
              <w:top w:w="0" w:type="dxa"/>
              <w:bottom w:w="0" w:type="dxa"/>
            </w:tcMar>
            <w:vAlign w:val="center"/>
          </w:tcPr>
          <w:p w14:paraId="1C56319B"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43,397</w:t>
            </w:r>
          </w:p>
        </w:tc>
      </w:tr>
      <w:tr w:rsidR="003D6470" w:rsidRPr="004074CD" w14:paraId="3A7E9F1B" w14:textId="77777777" w:rsidTr="0036417F">
        <w:tc>
          <w:tcPr>
            <w:tcW w:w="400" w:type="pct"/>
            <w:shd w:val="clear" w:color="auto" w:fill="auto"/>
            <w:tcMar>
              <w:top w:w="0" w:type="dxa"/>
              <w:bottom w:w="0" w:type="dxa"/>
            </w:tcMar>
            <w:vAlign w:val="center"/>
          </w:tcPr>
          <w:p w14:paraId="4155D39E"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3</w:t>
            </w:r>
          </w:p>
        </w:tc>
        <w:tc>
          <w:tcPr>
            <w:tcW w:w="1707" w:type="pct"/>
            <w:shd w:val="clear" w:color="auto" w:fill="auto"/>
            <w:tcMar>
              <w:top w:w="0" w:type="dxa"/>
              <w:bottom w:w="0" w:type="dxa"/>
            </w:tcMar>
            <w:vAlign w:val="center"/>
          </w:tcPr>
          <w:p w14:paraId="14A429E5"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Dividend rate</w:t>
            </w:r>
          </w:p>
        </w:tc>
        <w:tc>
          <w:tcPr>
            <w:tcW w:w="1328" w:type="pct"/>
            <w:shd w:val="clear" w:color="auto" w:fill="auto"/>
            <w:tcMar>
              <w:top w:w="0" w:type="dxa"/>
              <w:bottom w:w="0" w:type="dxa"/>
            </w:tcMar>
            <w:vAlign w:val="center"/>
          </w:tcPr>
          <w:p w14:paraId="78E7F354"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20%/charter capital</w:t>
            </w:r>
          </w:p>
        </w:tc>
        <w:tc>
          <w:tcPr>
            <w:tcW w:w="1565" w:type="pct"/>
            <w:shd w:val="clear" w:color="auto" w:fill="auto"/>
            <w:tcMar>
              <w:top w:w="0" w:type="dxa"/>
              <w:bottom w:w="0" w:type="dxa"/>
            </w:tcMar>
            <w:vAlign w:val="center"/>
          </w:tcPr>
          <w:p w14:paraId="756EE61B"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20%/charter capital.</w:t>
            </w:r>
          </w:p>
        </w:tc>
      </w:tr>
    </w:tbl>
    <w:p w14:paraId="26AAAE0B" w14:textId="77777777" w:rsidR="003D6470" w:rsidRPr="004074CD" w:rsidRDefault="0036417F" w:rsidP="0036417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Production and business plan 2024:</w:t>
      </w:r>
    </w:p>
    <w:p w14:paraId="7CE3B0A9" w14:textId="77777777" w:rsidR="003D6470" w:rsidRPr="004074CD" w:rsidRDefault="0036417F" w:rsidP="0036417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074CD">
        <w:rPr>
          <w:rFonts w:ascii="Arial" w:hAnsi="Arial" w:cs="Arial"/>
          <w:color w:val="010000"/>
          <w:sz w:val="20"/>
          <w:szCs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4"/>
        <w:gridCol w:w="4826"/>
        <w:gridCol w:w="3307"/>
      </w:tblGrid>
      <w:tr w:rsidR="003D6470" w:rsidRPr="004074CD" w14:paraId="0F1139D8" w14:textId="77777777" w:rsidTr="0036417F">
        <w:tc>
          <w:tcPr>
            <w:tcW w:w="490" w:type="pct"/>
            <w:shd w:val="clear" w:color="auto" w:fill="auto"/>
            <w:tcMar>
              <w:top w:w="0" w:type="dxa"/>
              <w:bottom w:w="0" w:type="dxa"/>
            </w:tcMar>
            <w:vAlign w:val="center"/>
          </w:tcPr>
          <w:p w14:paraId="45FD4D56"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No.</w:t>
            </w:r>
          </w:p>
        </w:tc>
        <w:tc>
          <w:tcPr>
            <w:tcW w:w="2676" w:type="pct"/>
            <w:shd w:val="clear" w:color="auto" w:fill="auto"/>
            <w:tcMar>
              <w:top w:w="0" w:type="dxa"/>
              <w:bottom w:w="0" w:type="dxa"/>
            </w:tcMar>
            <w:vAlign w:val="center"/>
          </w:tcPr>
          <w:p w14:paraId="218CC585"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Targets</w:t>
            </w:r>
          </w:p>
        </w:tc>
        <w:tc>
          <w:tcPr>
            <w:tcW w:w="1834" w:type="pct"/>
            <w:shd w:val="clear" w:color="auto" w:fill="auto"/>
            <w:tcMar>
              <w:top w:w="0" w:type="dxa"/>
              <w:bottom w:w="0" w:type="dxa"/>
            </w:tcMar>
            <w:vAlign w:val="center"/>
          </w:tcPr>
          <w:p w14:paraId="30823AA9"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Plan 2024</w:t>
            </w:r>
          </w:p>
        </w:tc>
      </w:tr>
      <w:tr w:rsidR="003D6470" w:rsidRPr="004074CD" w14:paraId="261D801E" w14:textId="77777777" w:rsidTr="0036417F">
        <w:tc>
          <w:tcPr>
            <w:tcW w:w="490" w:type="pct"/>
            <w:shd w:val="clear" w:color="auto" w:fill="auto"/>
            <w:tcMar>
              <w:top w:w="0" w:type="dxa"/>
              <w:bottom w:w="0" w:type="dxa"/>
            </w:tcMar>
            <w:vAlign w:val="center"/>
          </w:tcPr>
          <w:p w14:paraId="22E4BBC8"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1</w:t>
            </w:r>
          </w:p>
        </w:tc>
        <w:tc>
          <w:tcPr>
            <w:tcW w:w="2676" w:type="pct"/>
            <w:shd w:val="clear" w:color="auto" w:fill="auto"/>
            <w:tcMar>
              <w:top w:w="0" w:type="dxa"/>
              <w:bottom w:w="0" w:type="dxa"/>
            </w:tcMar>
            <w:vAlign w:val="center"/>
          </w:tcPr>
          <w:p w14:paraId="3C04B6DB"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Total revenue</w:t>
            </w:r>
          </w:p>
        </w:tc>
        <w:tc>
          <w:tcPr>
            <w:tcW w:w="1834" w:type="pct"/>
            <w:shd w:val="clear" w:color="auto" w:fill="auto"/>
            <w:tcMar>
              <w:top w:w="0" w:type="dxa"/>
              <w:bottom w:w="0" w:type="dxa"/>
            </w:tcMar>
            <w:vAlign w:val="center"/>
          </w:tcPr>
          <w:p w14:paraId="1BE7C92D"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250,010</w:t>
            </w:r>
          </w:p>
        </w:tc>
      </w:tr>
      <w:tr w:rsidR="003D6470" w:rsidRPr="004074CD" w14:paraId="5AF987B7" w14:textId="77777777" w:rsidTr="0036417F">
        <w:tc>
          <w:tcPr>
            <w:tcW w:w="490" w:type="pct"/>
            <w:shd w:val="clear" w:color="auto" w:fill="auto"/>
            <w:tcMar>
              <w:top w:w="0" w:type="dxa"/>
              <w:bottom w:w="0" w:type="dxa"/>
            </w:tcMar>
            <w:vAlign w:val="center"/>
          </w:tcPr>
          <w:p w14:paraId="54C8BE49"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w:t>
            </w:r>
          </w:p>
        </w:tc>
        <w:tc>
          <w:tcPr>
            <w:tcW w:w="2676" w:type="pct"/>
            <w:shd w:val="clear" w:color="auto" w:fill="auto"/>
            <w:tcMar>
              <w:top w:w="0" w:type="dxa"/>
              <w:bottom w:w="0" w:type="dxa"/>
            </w:tcMar>
            <w:vAlign w:val="center"/>
          </w:tcPr>
          <w:p w14:paraId="3438E9FC"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Profit before tax</w:t>
            </w:r>
          </w:p>
        </w:tc>
        <w:tc>
          <w:tcPr>
            <w:tcW w:w="1834" w:type="pct"/>
            <w:shd w:val="clear" w:color="auto" w:fill="auto"/>
            <w:tcMar>
              <w:top w:w="0" w:type="dxa"/>
              <w:bottom w:w="0" w:type="dxa"/>
            </w:tcMar>
            <w:vAlign w:val="center"/>
          </w:tcPr>
          <w:p w14:paraId="06753EDE"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26,050</w:t>
            </w:r>
          </w:p>
        </w:tc>
      </w:tr>
      <w:tr w:rsidR="003D6470" w:rsidRPr="004074CD" w14:paraId="6C2ED60D" w14:textId="77777777" w:rsidTr="0036417F">
        <w:tc>
          <w:tcPr>
            <w:tcW w:w="490" w:type="pct"/>
            <w:shd w:val="clear" w:color="auto" w:fill="auto"/>
            <w:tcMar>
              <w:top w:w="0" w:type="dxa"/>
              <w:bottom w:w="0" w:type="dxa"/>
            </w:tcMar>
            <w:vAlign w:val="center"/>
          </w:tcPr>
          <w:p w14:paraId="31D852BF"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3</w:t>
            </w:r>
          </w:p>
        </w:tc>
        <w:tc>
          <w:tcPr>
            <w:tcW w:w="2676" w:type="pct"/>
            <w:shd w:val="clear" w:color="auto" w:fill="auto"/>
            <w:tcMar>
              <w:top w:w="0" w:type="dxa"/>
              <w:bottom w:w="0" w:type="dxa"/>
            </w:tcMar>
            <w:vAlign w:val="center"/>
          </w:tcPr>
          <w:p w14:paraId="52EB2601"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Dividend rate</w:t>
            </w:r>
          </w:p>
        </w:tc>
        <w:tc>
          <w:tcPr>
            <w:tcW w:w="1834" w:type="pct"/>
            <w:shd w:val="clear" w:color="auto" w:fill="auto"/>
            <w:tcMar>
              <w:top w:w="0" w:type="dxa"/>
              <w:bottom w:w="0" w:type="dxa"/>
            </w:tcMar>
            <w:vAlign w:val="center"/>
          </w:tcPr>
          <w:p w14:paraId="221DCC2E"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20% of charter capital</w:t>
            </w:r>
          </w:p>
        </w:tc>
      </w:tr>
    </w:tbl>
    <w:p w14:paraId="5BD6ACA7" w14:textId="77777777" w:rsidR="003D6470" w:rsidRPr="004074CD" w:rsidRDefault="0036417F" w:rsidP="00CC757B">
      <w:pPr>
        <w:keepNext/>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 xml:space="preserve">Relocation of Dong </w:t>
      </w:r>
      <w:proofErr w:type="spellStart"/>
      <w:r w:rsidRPr="004074CD">
        <w:rPr>
          <w:rFonts w:ascii="Arial" w:hAnsi="Arial" w:cs="Arial"/>
          <w:color w:val="010000"/>
          <w:sz w:val="20"/>
          <w:szCs w:val="20"/>
        </w:rPr>
        <w:t>Nai</w:t>
      </w:r>
      <w:proofErr w:type="spellEnd"/>
      <w:r w:rsidRPr="004074CD">
        <w:rPr>
          <w:rFonts w:ascii="Arial" w:hAnsi="Arial" w:cs="Arial"/>
          <w:color w:val="010000"/>
          <w:sz w:val="20"/>
          <w:szCs w:val="20"/>
        </w:rPr>
        <w:t xml:space="preserve"> Brick and Tile Factory 2:</w:t>
      </w:r>
    </w:p>
    <w:p w14:paraId="55AA6D4A" w14:textId="77777777" w:rsidR="003D6470" w:rsidRPr="004074CD" w:rsidRDefault="0036417F" w:rsidP="00CC757B">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 xml:space="preserve">Comply with the factory relocation policy according to the decision of Dong </w:t>
      </w:r>
      <w:proofErr w:type="spellStart"/>
      <w:r w:rsidRPr="004074CD">
        <w:rPr>
          <w:rFonts w:ascii="Arial" w:hAnsi="Arial" w:cs="Arial"/>
          <w:color w:val="010000"/>
          <w:sz w:val="20"/>
          <w:szCs w:val="20"/>
        </w:rPr>
        <w:t>Nai</w:t>
      </w:r>
      <w:proofErr w:type="spellEnd"/>
      <w:r w:rsidRPr="004074CD">
        <w:rPr>
          <w:rFonts w:ascii="Arial" w:hAnsi="Arial" w:cs="Arial"/>
          <w:color w:val="010000"/>
          <w:sz w:val="20"/>
          <w:szCs w:val="20"/>
        </w:rPr>
        <w:t xml:space="preserve"> Provincial People's Committee.</w:t>
      </w:r>
    </w:p>
    <w:p w14:paraId="062F9BEF" w14:textId="77777777" w:rsidR="003D6470" w:rsidRPr="004074CD" w:rsidRDefault="0036417F" w:rsidP="00CC757B">
      <w:pPr>
        <w:numPr>
          <w:ilvl w:val="0"/>
          <w:numId w:val="4"/>
        </w:numPr>
        <w:pBdr>
          <w:top w:val="nil"/>
          <w:left w:val="nil"/>
          <w:bottom w:val="nil"/>
          <w:right w:val="nil"/>
          <w:between w:val="nil"/>
        </w:pBdr>
        <w:tabs>
          <w:tab w:val="left" w:pos="432"/>
          <w:tab w:val="left" w:pos="1276"/>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Authorize the company's Board of Directors to work and decide on issues related to state agencies on reasonable compensation and relocation support policies for the company and employees, ensuring shareholders' interests before relocation.</w:t>
      </w:r>
    </w:p>
    <w:p w14:paraId="6B7DD073"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‎‎Article 2. Approve the Report of Supervisory Board in 2023</w:t>
      </w:r>
    </w:p>
    <w:p w14:paraId="54B2C78F"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The General Meeting unanimously approved the Operation Report 2023 of the Supervisory Board.</w:t>
      </w:r>
    </w:p>
    <w:p w14:paraId="699E957C"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‎‎Article 3. Approve the Financial Statements 2023 audited by Southern Auditing and Accounting Financial Consulting Service Co., Ltd. (AASCS)</w:t>
      </w:r>
    </w:p>
    <w:p w14:paraId="03D99C67"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The General Meeting unanimously approved the Financial Statements 2023 audited by Southern Auditing and Accounting Financial Consulting Service Co., Ltd. (AASCS).</w:t>
      </w:r>
    </w:p>
    <w:p w14:paraId="4E51D38A" w14:textId="77777777" w:rsidR="003D6470" w:rsidRPr="004074CD" w:rsidRDefault="0036417F" w:rsidP="00CC757B">
      <w:pPr>
        <w:pBdr>
          <w:top w:val="nil"/>
          <w:left w:val="nil"/>
          <w:bottom w:val="nil"/>
          <w:right w:val="nil"/>
          <w:between w:val="nil"/>
        </w:pBdr>
        <w:tabs>
          <w:tab w:val="left" w:pos="432"/>
          <w:tab w:val="left" w:pos="10063"/>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 xml:space="preserve">‎‎Article 4. Approve the distribution of profits 2023; remuneration 2024 of the Board of Directors and </w:t>
      </w:r>
      <w:r w:rsidRPr="004074CD">
        <w:rPr>
          <w:rFonts w:ascii="Arial" w:hAnsi="Arial" w:cs="Arial"/>
          <w:color w:val="010000"/>
          <w:sz w:val="20"/>
          <w:szCs w:val="20"/>
        </w:rPr>
        <w:lastRenderedPageBreak/>
        <w:t>Supervisory Board</w:t>
      </w:r>
    </w:p>
    <w:p w14:paraId="342D30D9"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The General Meeting unanimously approved the distribution of 2023 profits and the 2024 remuneration of the Board of Directors and Supervisory Board according to Proposal No. 12-2024/</w:t>
      </w:r>
      <w:proofErr w:type="spellStart"/>
      <w:r w:rsidRPr="004074CD">
        <w:rPr>
          <w:rFonts w:ascii="Arial" w:hAnsi="Arial" w:cs="Arial"/>
          <w:color w:val="010000"/>
          <w:sz w:val="20"/>
          <w:szCs w:val="20"/>
        </w:rPr>
        <w:t>TTr</w:t>
      </w:r>
      <w:proofErr w:type="spellEnd"/>
      <w:r w:rsidRPr="004074CD">
        <w:rPr>
          <w:rFonts w:ascii="Arial" w:hAnsi="Arial" w:cs="Arial"/>
          <w:color w:val="010000"/>
          <w:sz w:val="20"/>
          <w:szCs w:val="20"/>
        </w:rPr>
        <w:t>-HDQT dated March 26, 2024 as follows:</w:t>
      </w:r>
    </w:p>
    <w:p w14:paraId="44B7B4E5" w14:textId="77777777" w:rsidR="003D6470" w:rsidRPr="004074CD" w:rsidRDefault="0036417F" w:rsidP="00CC757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74CD">
        <w:rPr>
          <w:rFonts w:ascii="Arial" w:hAnsi="Arial" w:cs="Arial"/>
          <w:color w:val="010000"/>
          <w:sz w:val="20"/>
          <w:szCs w:val="20"/>
        </w:rPr>
        <w:t>Profit distribution in 2023</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2"/>
        <w:gridCol w:w="5607"/>
        <w:gridCol w:w="2808"/>
      </w:tblGrid>
      <w:tr w:rsidR="003D6470" w:rsidRPr="004074CD" w14:paraId="11E9D630" w14:textId="77777777" w:rsidTr="0036417F">
        <w:trPr>
          <w:jc w:val="center"/>
        </w:trPr>
        <w:tc>
          <w:tcPr>
            <w:tcW w:w="334" w:type="pct"/>
            <w:shd w:val="clear" w:color="auto" w:fill="auto"/>
            <w:tcMar>
              <w:top w:w="0" w:type="dxa"/>
              <w:bottom w:w="0" w:type="dxa"/>
            </w:tcMar>
            <w:vAlign w:val="center"/>
          </w:tcPr>
          <w:p w14:paraId="56A39AA5"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No.</w:t>
            </w:r>
          </w:p>
        </w:tc>
        <w:tc>
          <w:tcPr>
            <w:tcW w:w="3109" w:type="pct"/>
            <w:shd w:val="clear" w:color="auto" w:fill="auto"/>
            <w:tcMar>
              <w:top w:w="0" w:type="dxa"/>
              <w:bottom w:w="0" w:type="dxa"/>
            </w:tcMar>
            <w:vAlign w:val="center"/>
          </w:tcPr>
          <w:p w14:paraId="5D708388"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Profit distribution</w:t>
            </w:r>
          </w:p>
        </w:tc>
        <w:tc>
          <w:tcPr>
            <w:tcW w:w="1557" w:type="pct"/>
            <w:shd w:val="clear" w:color="auto" w:fill="auto"/>
            <w:tcMar>
              <w:top w:w="0" w:type="dxa"/>
              <w:bottom w:w="0" w:type="dxa"/>
            </w:tcMar>
            <w:vAlign w:val="center"/>
          </w:tcPr>
          <w:p w14:paraId="4072DF35"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Value</w:t>
            </w:r>
          </w:p>
        </w:tc>
      </w:tr>
      <w:tr w:rsidR="003D6470" w:rsidRPr="004074CD" w14:paraId="2CFC1425" w14:textId="77777777" w:rsidTr="0036417F">
        <w:trPr>
          <w:jc w:val="center"/>
        </w:trPr>
        <w:tc>
          <w:tcPr>
            <w:tcW w:w="334" w:type="pct"/>
            <w:shd w:val="clear" w:color="auto" w:fill="auto"/>
            <w:tcMar>
              <w:top w:w="0" w:type="dxa"/>
              <w:bottom w:w="0" w:type="dxa"/>
            </w:tcMar>
            <w:vAlign w:val="center"/>
          </w:tcPr>
          <w:p w14:paraId="52CAB26C"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1</w:t>
            </w:r>
          </w:p>
        </w:tc>
        <w:tc>
          <w:tcPr>
            <w:tcW w:w="3109" w:type="pct"/>
            <w:shd w:val="clear" w:color="auto" w:fill="auto"/>
            <w:tcMar>
              <w:top w:w="0" w:type="dxa"/>
              <w:bottom w:w="0" w:type="dxa"/>
            </w:tcMar>
            <w:vAlign w:val="center"/>
          </w:tcPr>
          <w:p w14:paraId="452BC1E9"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Profit before tax:</w:t>
            </w:r>
          </w:p>
        </w:tc>
        <w:tc>
          <w:tcPr>
            <w:tcW w:w="1557" w:type="pct"/>
            <w:shd w:val="clear" w:color="auto" w:fill="auto"/>
            <w:tcMar>
              <w:top w:w="0" w:type="dxa"/>
              <w:bottom w:w="0" w:type="dxa"/>
            </w:tcMar>
            <w:vAlign w:val="center"/>
          </w:tcPr>
          <w:p w14:paraId="3ABAD7F8"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VND 43,397,712,600</w:t>
            </w:r>
          </w:p>
        </w:tc>
      </w:tr>
      <w:tr w:rsidR="003D6470" w:rsidRPr="004074CD" w14:paraId="4D8293AF" w14:textId="77777777" w:rsidTr="0036417F">
        <w:trPr>
          <w:jc w:val="center"/>
        </w:trPr>
        <w:tc>
          <w:tcPr>
            <w:tcW w:w="334" w:type="pct"/>
            <w:shd w:val="clear" w:color="auto" w:fill="auto"/>
            <w:tcMar>
              <w:top w:w="0" w:type="dxa"/>
              <w:bottom w:w="0" w:type="dxa"/>
            </w:tcMar>
            <w:vAlign w:val="center"/>
          </w:tcPr>
          <w:p w14:paraId="5D9D9B1E"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2</w:t>
            </w:r>
          </w:p>
        </w:tc>
        <w:tc>
          <w:tcPr>
            <w:tcW w:w="3109" w:type="pct"/>
            <w:shd w:val="clear" w:color="auto" w:fill="auto"/>
            <w:tcMar>
              <w:top w:w="0" w:type="dxa"/>
              <w:bottom w:w="0" w:type="dxa"/>
            </w:tcMar>
            <w:vAlign w:val="center"/>
          </w:tcPr>
          <w:p w14:paraId="0254B946"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Corporate income tax</w:t>
            </w:r>
          </w:p>
        </w:tc>
        <w:tc>
          <w:tcPr>
            <w:tcW w:w="1557" w:type="pct"/>
            <w:shd w:val="clear" w:color="auto" w:fill="auto"/>
            <w:tcMar>
              <w:top w:w="0" w:type="dxa"/>
              <w:bottom w:w="0" w:type="dxa"/>
            </w:tcMar>
            <w:vAlign w:val="center"/>
          </w:tcPr>
          <w:p w14:paraId="07547113"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VND 8,865,454,620</w:t>
            </w:r>
          </w:p>
        </w:tc>
      </w:tr>
      <w:tr w:rsidR="003D6470" w:rsidRPr="004074CD" w14:paraId="6B49DA5C" w14:textId="77777777" w:rsidTr="0036417F">
        <w:trPr>
          <w:jc w:val="center"/>
        </w:trPr>
        <w:tc>
          <w:tcPr>
            <w:tcW w:w="334" w:type="pct"/>
            <w:shd w:val="clear" w:color="auto" w:fill="auto"/>
            <w:tcMar>
              <w:top w:w="0" w:type="dxa"/>
              <w:bottom w:w="0" w:type="dxa"/>
            </w:tcMar>
            <w:vAlign w:val="center"/>
          </w:tcPr>
          <w:p w14:paraId="256890BC"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3</w:t>
            </w:r>
          </w:p>
        </w:tc>
        <w:tc>
          <w:tcPr>
            <w:tcW w:w="3109" w:type="pct"/>
            <w:shd w:val="clear" w:color="auto" w:fill="auto"/>
            <w:tcMar>
              <w:top w:w="0" w:type="dxa"/>
              <w:bottom w:w="0" w:type="dxa"/>
            </w:tcMar>
            <w:vAlign w:val="center"/>
          </w:tcPr>
          <w:p w14:paraId="378543A1"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Profit after tax:</w:t>
            </w:r>
          </w:p>
        </w:tc>
        <w:tc>
          <w:tcPr>
            <w:tcW w:w="1557" w:type="pct"/>
            <w:shd w:val="clear" w:color="auto" w:fill="auto"/>
            <w:tcMar>
              <w:top w:w="0" w:type="dxa"/>
              <w:bottom w:w="0" w:type="dxa"/>
            </w:tcMar>
            <w:vAlign w:val="center"/>
          </w:tcPr>
          <w:p w14:paraId="0E804E55"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VND 34,532,257,980</w:t>
            </w:r>
          </w:p>
        </w:tc>
      </w:tr>
      <w:tr w:rsidR="003D6470" w:rsidRPr="004074CD" w14:paraId="3F44E567" w14:textId="77777777" w:rsidTr="0036417F">
        <w:trPr>
          <w:jc w:val="center"/>
        </w:trPr>
        <w:tc>
          <w:tcPr>
            <w:tcW w:w="334" w:type="pct"/>
            <w:shd w:val="clear" w:color="auto" w:fill="auto"/>
            <w:tcMar>
              <w:top w:w="0" w:type="dxa"/>
              <w:bottom w:w="0" w:type="dxa"/>
            </w:tcMar>
            <w:vAlign w:val="center"/>
          </w:tcPr>
          <w:p w14:paraId="0B4AE034"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4</w:t>
            </w:r>
          </w:p>
        </w:tc>
        <w:tc>
          <w:tcPr>
            <w:tcW w:w="3109" w:type="pct"/>
            <w:shd w:val="clear" w:color="auto" w:fill="auto"/>
            <w:tcMar>
              <w:top w:w="0" w:type="dxa"/>
              <w:bottom w:w="0" w:type="dxa"/>
            </w:tcMar>
            <w:vAlign w:val="center"/>
          </w:tcPr>
          <w:p w14:paraId="5287EA34"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Dividend payment 2023 (20% charter capital):</w:t>
            </w:r>
          </w:p>
        </w:tc>
        <w:tc>
          <w:tcPr>
            <w:tcW w:w="1557" w:type="pct"/>
            <w:shd w:val="clear" w:color="auto" w:fill="auto"/>
            <w:tcMar>
              <w:top w:w="0" w:type="dxa"/>
              <w:bottom w:w="0" w:type="dxa"/>
            </w:tcMar>
            <w:vAlign w:val="center"/>
          </w:tcPr>
          <w:p w14:paraId="4330B963"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VND 18,000,000,000</w:t>
            </w:r>
          </w:p>
        </w:tc>
      </w:tr>
      <w:tr w:rsidR="003D6470" w:rsidRPr="004074CD" w14:paraId="0568B7D5" w14:textId="77777777" w:rsidTr="0036417F">
        <w:trPr>
          <w:jc w:val="center"/>
        </w:trPr>
        <w:tc>
          <w:tcPr>
            <w:tcW w:w="334" w:type="pct"/>
            <w:shd w:val="clear" w:color="auto" w:fill="auto"/>
            <w:tcMar>
              <w:top w:w="0" w:type="dxa"/>
              <w:bottom w:w="0" w:type="dxa"/>
            </w:tcMar>
            <w:vAlign w:val="center"/>
          </w:tcPr>
          <w:p w14:paraId="51218379"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5</w:t>
            </w:r>
          </w:p>
        </w:tc>
        <w:tc>
          <w:tcPr>
            <w:tcW w:w="3109" w:type="pct"/>
            <w:shd w:val="clear" w:color="auto" w:fill="auto"/>
            <w:tcMar>
              <w:top w:w="0" w:type="dxa"/>
              <w:bottom w:w="0" w:type="dxa"/>
            </w:tcMar>
            <w:vAlign w:val="center"/>
          </w:tcPr>
          <w:p w14:paraId="0DBD97BF"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Appropriation for bonus and welfare fund (10% of profit after tax):</w:t>
            </w:r>
          </w:p>
        </w:tc>
        <w:tc>
          <w:tcPr>
            <w:tcW w:w="1557" w:type="pct"/>
            <w:shd w:val="clear" w:color="auto" w:fill="auto"/>
            <w:tcMar>
              <w:top w:w="0" w:type="dxa"/>
              <w:bottom w:w="0" w:type="dxa"/>
            </w:tcMar>
            <w:vAlign w:val="center"/>
          </w:tcPr>
          <w:p w14:paraId="3D73253F"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VND 3,453,225,798</w:t>
            </w:r>
          </w:p>
        </w:tc>
      </w:tr>
      <w:tr w:rsidR="003D6470" w:rsidRPr="004074CD" w14:paraId="19F1A85D" w14:textId="77777777" w:rsidTr="0036417F">
        <w:trPr>
          <w:jc w:val="center"/>
        </w:trPr>
        <w:tc>
          <w:tcPr>
            <w:tcW w:w="334" w:type="pct"/>
            <w:shd w:val="clear" w:color="auto" w:fill="auto"/>
            <w:tcMar>
              <w:top w:w="0" w:type="dxa"/>
              <w:bottom w:w="0" w:type="dxa"/>
            </w:tcMar>
            <w:vAlign w:val="center"/>
          </w:tcPr>
          <w:p w14:paraId="1D6126F8"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6</w:t>
            </w:r>
          </w:p>
        </w:tc>
        <w:tc>
          <w:tcPr>
            <w:tcW w:w="3109" w:type="pct"/>
            <w:shd w:val="clear" w:color="auto" w:fill="auto"/>
            <w:tcMar>
              <w:top w:w="0" w:type="dxa"/>
              <w:bottom w:w="0" w:type="dxa"/>
            </w:tcMar>
            <w:vAlign w:val="center"/>
          </w:tcPr>
          <w:p w14:paraId="3320C199" w14:textId="77777777" w:rsidR="003D6470" w:rsidRPr="004074CD" w:rsidRDefault="0036417F" w:rsidP="003641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74CD">
              <w:rPr>
                <w:rFonts w:ascii="Arial" w:hAnsi="Arial" w:cs="Arial"/>
                <w:color w:val="010000"/>
                <w:sz w:val="20"/>
                <w:szCs w:val="20"/>
              </w:rPr>
              <w:t>Appropriation for investment and development fund (37.87% of profit after tax)</w:t>
            </w:r>
          </w:p>
        </w:tc>
        <w:tc>
          <w:tcPr>
            <w:tcW w:w="1557" w:type="pct"/>
            <w:shd w:val="clear" w:color="auto" w:fill="auto"/>
            <w:tcMar>
              <w:top w:w="0" w:type="dxa"/>
              <w:bottom w:w="0" w:type="dxa"/>
            </w:tcMar>
            <w:vAlign w:val="center"/>
          </w:tcPr>
          <w:p w14:paraId="0AAFEBB1" w14:textId="77777777" w:rsidR="003D6470" w:rsidRPr="004074CD" w:rsidRDefault="0036417F" w:rsidP="003641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74CD">
              <w:rPr>
                <w:rFonts w:ascii="Arial" w:hAnsi="Arial" w:cs="Arial"/>
                <w:color w:val="010000"/>
                <w:sz w:val="20"/>
                <w:szCs w:val="20"/>
              </w:rPr>
              <w:t>VND 13,079,032,182</w:t>
            </w:r>
          </w:p>
        </w:tc>
      </w:tr>
    </w:tbl>
    <w:p w14:paraId="66D4C110" w14:textId="77777777" w:rsidR="003D6470" w:rsidRPr="004074CD" w:rsidRDefault="0036417F" w:rsidP="00CC757B">
      <w:pPr>
        <w:numPr>
          <w:ilvl w:val="0"/>
          <w:numId w:val="2"/>
        </w:numPr>
        <w:pBdr>
          <w:top w:val="nil"/>
          <w:left w:val="nil"/>
          <w:bottom w:val="nil"/>
          <w:right w:val="nil"/>
          <w:between w:val="nil"/>
        </w:pBdr>
        <w:tabs>
          <w:tab w:val="left" w:pos="432"/>
          <w:tab w:val="left" w:pos="1276"/>
        </w:tabs>
        <w:spacing w:after="120" w:line="360" w:lineRule="auto"/>
        <w:ind w:left="0" w:firstLine="0"/>
        <w:jc w:val="both"/>
        <w:rPr>
          <w:rFonts w:ascii="Arial" w:eastAsia="Arial" w:hAnsi="Arial" w:cs="Arial"/>
          <w:color w:val="010000"/>
          <w:sz w:val="20"/>
          <w:szCs w:val="20"/>
        </w:rPr>
      </w:pPr>
      <w:r w:rsidRPr="004074CD">
        <w:rPr>
          <w:rFonts w:ascii="Arial" w:hAnsi="Arial" w:cs="Arial"/>
          <w:color w:val="010000"/>
          <w:sz w:val="20"/>
          <w:szCs w:val="20"/>
        </w:rPr>
        <w:t xml:space="preserve">Remuneration of the Board of Directors and the Supervisory Board in 2024; </w:t>
      </w:r>
    </w:p>
    <w:p w14:paraId="0AFF7562" w14:textId="77777777" w:rsidR="003D6470" w:rsidRPr="004074CD" w:rsidRDefault="0036417F" w:rsidP="00CC757B">
      <w:pPr>
        <w:numPr>
          <w:ilvl w:val="0"/>
          <w:numId w:val="3"/>
        </w:numPr>
        <w:pBdr>
          <w:top w:val="nil"/>
          <w:left w:val="nil"/>
          <w:bottom w:val="nil"/>
          <w:right w:val="nil"/>
          <w:between w:val="nil"/>
        </w:pBdr>
        <w:tabs>
          <w:tab w:val="left" w:pos="432"/>
          <w:tab w:val="left" w:pos="1276"/>
        </w:tabs>
        <w:spacing w:after="120" w:line="360" w:lineRule="auto"/>
        <w:ind w:left="0" w:firstLine="0"/>
        <w:jc w:val="both"/>
        <w:rPr>
          <w:rFonts w:ascii="Arial" w:eastAsia="Arial" w:hAnsi="Arial" w:cs="Arial"/>
          <w:color w:val="010000"/>
          <w:sz w:val="20"/>
          <w:szCs w:val="20"/>
        </w:rPr>
      </w:pPr>
      <w:r w:rsidRPr="004074CD">
        <w:rPr>
          <w:rFonts w:ascii="Arial" w:hAnsi="Arial" w:cs="Arial"/>
          <w:color w:val="010000"/>
          <w:sz w:val="20"/>
          <w:szCs w:val="20"/>
        </w:rPr>
        <w:t>Remuneration for the Board of Directors:</w:t>
      </w:r>
    </w:p>
    <w:p w14:paraId="0546D9AB" w14:textId="77777777" w:rsidR="003D6470" w:rsidRPr="004074CD" w:rsidRDefault="0036417F" w:rsidP="00CC757B">
      <w:pPr>
        <w:numPr>
          <w:ilvl w:val="0"/>
          <w:numId w:val="6"/>
        </w:numPr>
        <w:pBdr>
          <w:top w:val="nil"/>
          <w:left w:val="nil"/>
          <w:bottom w:val="nil"/>
          <w:right w:val="nil"/>
          <w:between w:val="nil"/>
        </w:pBdr>
        <w:tabs>
          <w:tab w:val="left" w:pos="432"/>
          <w:tab w:val="left" w:pos="1758"/>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Chair of the Board of Directors: VND 10,000,000/month</w:t>
      </w:r>
    </w:p>
    <w:p w14:paraId="0A1916EB" w14:textId="77777777" w:rsidR="003D6470" w:rsidRPr="004074CD" w:rsidRDefault="0036417F" w:rsidP="00CC757B">
      <w:pPr>
        <w:numPr>
          <w:ilvl w:val="0"/>
          <w:numId w:val="6"/>
        </w:numPr>
        <w:pBdr>
          <w:top w:val="nil"/>
          <w:left w:val="nil"/>
          <w:bottom w:val="nil"/>
          <w:right w:val="nil"/>
          <w:between w:val="nil"/>
        </w:pBdr>
        <w:tabs>
          <w:tab w:val="left" w:pos="432"/>
          <w:tab w:val="left" w:pos="1758"/>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Each member of the Board of Directors: VND 8,000,000/month;</w:t>
      </w:r>
    </w:p>
    <w:p w14:paraId="7F90E5C5" w14:textId="77777777" w:rsidR="003D6470" w:rsidRPr="004074CD" w:rsidRDefault="0036417F" w:rsidP="00CC757B">
      <w:pPr>
        <w:numPr>
          <w:ilvl w:val="0"/>
          <w:numId w:val="6"/>
        </w:numPr>
        <w:pBdr>
          <w:top w:val="nil"/>
          <w:left w:val="nil"/>
          <w:bottom w:val="nil"/>
          <w:right w:val="nil"/>
          <w:between w:val="nil"/>
        </w:pBdr>
        <w:tabs>
          <w:tab w:val="left" w:pos="432"/>
          <w:tab w:val="left" w:pos="1758"/>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The Secretary of the Board of Directors: VND 5,000,000/month</w:t>
      </w:r>
    </w:p>
    <w:p w14:paraId="74CBC3CE" w14:textId="77777777" w:rsidR="003D6470" w:rsidRPr="004074CD" w:rsidRDefault="0036417F" w:rsidP="00CC757B">
      <w:pPr>
        <w:numPr>
          <w:ilvl w:val="0"/>
          <w:numId w:val="6"/>
        </w:numPr>
        <w:pBdr>
          <w:top w:val="nil"/>
          <w:left w:val="nil"/>
          <w:bottom w:val="nil"/>
          <w:right w:val="nil"/>
          <w:between w:val="nil"/>
        </w:pBdr>
        <w:tabs>
          <w:tab w:val="left" w:pos="432"/>
          <w:tab w:val="left" w:pos="1758"/>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2% of profit after tax in 2024.</w:t>
      </w:r>
    </w:p>
    <w:p w14:paraId="48239ECF" w14:textId="77777777" w:rsidR="003D6470" w:rsidRPr="004074CD" w:rsidRDefault="0036417F" w:rsidP="00CC757B">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Remuneration for the Supervisory Board:</w:t>
      </w:r>
    </w:p>
    <w:p w14:paraId="19905779" w14:textId="77777777" w:rsidR="003D6470" w:rsidRPr="004074CD" w:rsidRDefault="0036417F" w:rsidP="00CC757B">
      <w:pPr>
        <w:numPr>
          <w:ilvl w:val="0"/>
          <w:numId w:val="7"/>
        </w:numPr>
        <w:pBdr>
          <w:top w:val="nil"/>
          <w:left w:val="nil"/>
          <w:bottom w:val="nil"/>
          <w:right w:val="nil"/>
          <w:between w:val="nil"/>
        </w:pBdr>
        <w:tabs>
          <w:tab w:val="left" w:pos="432"/>
          <w:tab w:val="left" w:pos="1864"/>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Chief of the Supervisory Board: VND 8,000,000/month;</w:t>
      </w:r>
    </w:p>
    <w:p w14:paraId="5178827D" w14:textId="77777777" w:rsidR="003D6470" w:rsidRPr="004074CD" w:rsidRDefault="0036417F" w:rsidP="00CC757B">
      <w:pPr>
        <w:numPr>
          <w:ilvl w:val="0"/>
          <w:numId w:val="7"/>
        </w:numPr>
        <w:pBdr>
          <w:top w:val="nil"/>
          <w:left w:val="nil"/>
          <w:bottom w:val="nil"/>
          <w:right w:val="nil"/>
          <w:between w:val="nil"/>
        </w:pBdr>
        <w:tabs>
          <w:tab w:val="left" w:pos="432"/>
          <w:tab w:val="left" w:pos="1864"/>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Each member of the Supervisory Board:  VND 6,000,000/month;</w:t>
      </w:r>
    </w:p>
    <w:p w14:paraId="1732E4D5" w14:textId="77777777" w:rsidR="003D6470" w:rsidRPr="004074CD" w:rsidRDefault="0036417F" w:rsidP="00CC757B">
      <w:pPr>
        <w:numPr>
          <w:ilvl w:val="0"/>
          <w:numId w:val="7"/>
        </w:numPr>
        <w:pBdr>
          <w:top w:val="nil"/>
          <w:left w:val="nil"/>
          <w:bottom w:val="nil"/>
          <w:right w:val="nil"/>
          <w:between w:val="nil"/>
        </w:pBdr>
        <w:tabs>
          <w:tab w:val="left" w:pos="432"/>
          <w:tab w:val="left" w:pos="1864"/>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1% of profit after tax in 2024.</w:t>
      </w:r>
    </w:p>
    <w:p w14:paraId="168176AE" w14:textId="77777777" w:rsidR="003D6470" w:rsidRPr="004074CD" w:rsidRDefault="0036417F" w:rsidP="00CC757B">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‎‎Article 5. Approve the selection of an audit company for the Company’s Financial Statement 2024.</w:t>
      </w:r>
    </w:p>
    <w:p w14:paraId="7FB2A6A2"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The General Meeting unanimously approved the selection of the list of audit companies and authorized the Board of Directors to choose one of the following audit companies to audit the Financial Statements 2024:</w:t>
      </w:r>
    </w:p>
    <w:p w14:paraId="03AF8240" w14:textId="77777777" w:rsidR="003D6470" w:rsidRPr="004074CD" w:rsidRDefault="0036417F" w:rsidP="00CC757B">
      <w:pPr>
        <w:numPr>
          <w:ilvl w:val="0"/>
          <w:numId w:val="1"/>
        </w:numPr>
        <w:pBdr>
          <w:top w:val="nil"/>
          <w:left w:val="nil"/>
          <w:bottom w:val="nil"/>
          <w:right w:val="nil"/>
          <w:between w:val="nil"/>
        </w:pBdr>
        <w:tabs>
          <w:tab w:val="left" w:pos="432"/>
          <w:tab w:val="left" w:pos="897"/>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Southern Auditing and Accounting Financial Consulting Service Co., Ltd.</w:t>
      </w:r>
    </w:p>
    <w:p w14:paraId="7F248C37" w14:textId="77777777" w:rsidR="003D6470" w:rsidRPr="004074CD" w:rsidRDefault="0036417F" w:rsidP="00CC757B">
      <w:pPr>
        <w:numPr>
          <w:ilvl w:val="0"/>
          <w:numId w:val="1"/>
        </w:numPr>
        <w:pBdr>
          <w:top w:val="nil"/>
          <w:left w:val="nil"/>
          <w:bottom w:val="nil"/>
          <w:right w:val="nil"/>
          <w:between w:val="nil"/>
        </w:pBdr>
        <w:tabs>
          <w:tab w:val="left" w:pos="432"/>
          <w:tab w:val="left" w:pos="929"/>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 xml:space="preserve">Vietnam Australia Auditing Co., Ltd. - Ho Chi Minh City </w:t>
      </w:r>
    </w:p>
    <w:p w14:paraId="3824184F" w14:textId="339EEDD0" w:rsidR="003D6470" w:rsidRPr="004074CD" w:rsidRDefault="0036417F" w:rsidP="00CC757B">
      <w:pPr>
        <w:numPr>
          <w:ilvl w:val="0"/>
          <w:numId w:val="1"/>
        </w:numPr>
        <w:pBdr>
          <w:top w:val="nil"/>
          <w:left w:val="nil"/>
          <w:bottom w:val="nil"/>
          <w:right w:val="nil"/>
          <w:between w:val="nil"/>
        </w:pBdr>
        <w:tabs>
          <w:tab w:val="left" w:pos="432"/>
          <w:tab w:val="left" w:pos="929"/>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 xml:space="preserve">CPA Vietnam Auditing Co., </w:t>
      </w:r>
      <w:r w:rsidR="006A4A2A">
        <w:rPr>
          <w:rFonts w:ascii="Arial" w:hAnsi="Arial" w:cs="Arial"/>
          <w:color w:val="010000"/>
          <w:sz w:val="20"/>
          <w:szCs w:val="20"/>
        </w:rPr>
        <w:t xml:space="preserve">Ltd. - Ho Chi Minh City Branch </w:t>
      </w:r>
    </w:p>
    <w:p w14:paraId="5BC57221"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lastRenderedPageBreak/>
        <w:t>‎‎Article 6. The General Mandate takes effect from April 25, 2024</w:t>
      </w:r>
    </w:p>
    <w:p w14:paraId="40B83740" w14:textId="2526E1F2"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sz w:val="20"/>
          <w:szCs w:val="20"/>
        </w:rPr>
        <w:t xml:space="preserve">The Board of Directors is responsible for sending copies of the General Mandate to all shareholders and posting it on the Company's </w:t>
      </w:r>
      <w:r w:rsidR="007D6AA2">
        <w:rPr>
          <w:rFonts w:ascii="Arial" w:hAnsi="Arial" w:cs="Arial"/>
          <w:sz w:val="20"/>
          <w:szCs w:val="20"/>
        </w:rPr>
        <w:t>website (</w:t>
      </w:r>
      <w:hyperlink r:id="rId6" w:history="1">
        <w:r w:rsidR="007D6AA2" w:rsidRPr="007B09CF">
          <w:rPr>
            <w:rStyle w:val="Hyperlink"/>
            <w:rFonts w:ascii="Arial" w:hAnsi="Arial" w:cs="Arial"/>
            <w:sz w:val="20"/>
            <w:szCs w:val="20"/>
          </w:rPr>
          <w:t>www.tuildonai.com.vn</w:t>
        </w:r>
      </w:hyperlink>
      <w:r w:rsidR="007D6AA2">
        <w:rPr>
          <w:rFonts w:ascii="Arial" w:hAnsi="Arial" w:cs="Arial"/>
          <w:sz w:val="20"/>
          <w:szCs w:val="20"/>
        </w:rPr>
        <w:t xml:space="preserve">) and reporting to the competent authorities </w:t>
      </w:r>
      <w:bookmarkStart w:id="0" w:name="_GoBack"/>
      <w:bookmarkEnd w:id="0"/>
      <w:r w:rsidR="00CC757B">
        <w:rPr>
          <w:rFonts w:ascii="Arial" w:hAnsi="Arial" w:cs="Arial"/>
          <w:sz w:val="20"/>
          <w:szCs w:val="20"/>
        </w:rPr>
        <w:t>under applicable laws.</w:t>
      </w:r>
    </w:p>
    <w:p w14:paraId="762C753A" w14:textId="77777777"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‎‎Article 7. Responsibility to disseminate, grasp and implement the General Mandate</w:t>
      </w:r>
    </w:p>
    <w:p w14:paraId="229A3040" w14:textId="5ABC2096" w:rsidR="003D6470" w:rsidRPr="004074CD" w:rsidRDefault="0036417F" w:rsidP="00CC75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74CD">
        <w:rPr>
          <w:rFonts w:ascii="Arial" w:hAnsi="Arial" w:cs="Arial"/>
          <w:color w:val="010000"/>
          <w:sz w:val="20"/>
          <w:szCs w:val="20"/>
        </w:rPr>
        <w:t>The General Meeting unanimously assig</w:t>
      </w:r>
      <w:r w:rsidR="00CC757B">
        <w:rPr>
          <w:rFonts w:ascii="Arial" w:hAnsi="Arial" w:cs="Arial"/>
          <w:color w:val="010000"/>
          <w:sz w:val="20"/>
          <w:szCs w:val="20"/>
        </w:rPr>
        <w:t xml:space="preserve">ned the Board of Directors, </w:t>
      </w:r>
      <w:r w:rsidRPr="004074CD">
        <w:rPr>
          <w:rFonts w:ascii="Arial" w:hAnsi="Arial" w:cs="Arial"/>
          <w:color w:val="010000"/>
          <w:sz w:val="20"/>
          <w:szCs w:val="20"/>
        </w:rPr>
        <w:t>Supervisory Board and Executive Board to be responsible for disseminating, grasping, implementing and supervising the implementation process in the spirit of the General Mandate.</w:t>
      </w:r>
    </w:p>
    <w:sectPr w:rsidR="003D6470" w:rsidRPr="004074CD" w:rsidSect="003641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96B"/>
    <w:multiLevelType w:val="multilevel"/>
    <w:tmpl w:val="453C66F2"/>
    <w:lvl w:ilvl="0">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B020CD"/>
    <w:multiLevelType w:val="multilevel"/>
    <w:tmpl w:val="3C781850"/>
    <w:lvl w:ilvl="0">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9C154B"/>
    <w:multiLevelType w:val="multilevel"/>
    <w:tmpl w:val="004245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FCE22D8"/>
    <w:multiLevelType w:val="multilevel"/>
    <w:tmpl w:val="D026E67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1C7A37"/>
    <w:multiLevelType w:val="multilevel"/>
    <w:tmpl w:val="8618DBE0"/>
    <w:lvl w:ilvl="0">
      <w:start w:val="1"/>
      <w:numFmt w:val="bullet"/>
      <w:lvlText w:val="+"/>
      <w:lvlJc w:val="left"/>
      <w:pPr>
        <w:ind w:left="1440" w:hanging="360"/>
      </w:pPr>
      <w:rPr>
        <w:rFonts w:ascii="Arial" w:hAnsi="Arial" w:hint="default"/>
        <w:b w:val="0"/>
        <w:i w:val="0"/>
        <w:sz w:val="20"/>
        <w:szCs w:val="20"/>
        <w:u w:val="none"/>
      </w:rPr>
    </w:lvl>
    <w:lvl w:ilvl="1">
      <w:start w:val="1"/>
      <w:numFmt w:val="bullet"/>
      <w:lvlText w:val="o"/>
      <w:lvlJc w:val="left"/>
      <w:pPr>
        <w:ind w:left="2160" w:hanging="360"/>
      </w:pPr>
      <w:rPr>
        <w:rFonts w:ascii="Arial" w:eastAsia="Arial" w:hAnsi="Arial" w:cs="Arial"/>
        <w:b w:val="0"/>
        <w:i w:val="0"/>
        <w:sz w:val="20"/>
        <w:szCs w:val="20"/>
      </w:rPr>
    </w:lvl>
    <w:lvl w:ilvl="2">
      <w:start w:val="1"/>
      <w:numFmt w:val="bullet"/>
      <w:lvlText w:val=""/>
      <w:lvlJc w:val="left"/>
      <w:pPr>
        <w:ind w:left="2880" w:hanging="360"/>
      </w:pPr>
      <w:rPr>
        <w:rFonts w:ascii="Arial" w:eastAsia="Arial" w:hAnsi="Arial" w:cs="Arial"/>
        <w:b w:val="0"/>
        <w:i w:val="0"/>
        <w:sz w:val="20"/>
        <w:szCs w:val="20"/>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59E7084"/>
    <w:multiLevelType w:val="multilevel"/>
    <w:tmpl w:val="3A58C040"/>
    <w:lvl w:ilvl="0">
      <w:start w:val="1"/>
      <w:numFmt w:val="bullet"/>
      <w:lvlText w:val=""/>
      <w:lvlJc w:val="left"/>
      <w:pPr>
        <w:ind w:left="0" w:firstLine="0"/>
      </w:pPr>
      <w:rPr>
        <w:rFonts w:ascii="Wingdings" w:hAnsi="Wingdings"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8A531C8"/>
    <w:multiLevelType w:val="multilevel"/>
    <w:tmpl w:val="BBA40DB2"/>
    <w:lvl w:ilvl="0">
      <w:start w:val="1"/>
      <w:numFmt w:val="bullet"/>
      <w:lvlText w:val="+"/>
      <w:lvlJc w:val="left"/>
      <w:pPr>
        <w:ind w:left="0" w:firstLine="0"/>
      </w:pPr>
      <w:rPr>
        <w:rFonts w:ascii="Arial" w:hAnsi="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8BC1CD6"/>
    <w:multiLevelType w:val="multilevel"/>
    <w:tmpl w:val="C3BC9E1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70"/>
    <w:rsid w:val="0036417F"/>
    <w:rsid w:val="003D6470"/>
    <w:rsid w:val="004074CD"/>
    <w:rsid w:val="006A4A2A"/>
    <w:rsid w:val="007D6AA2"/>
    <w:rsid w:val="00CC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088CA"/>
  <w15:docId w15:val="{85370683-59D4-4A59-BF1F-1624FF40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2E2D33"/>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E2D33"/>
      <w:sz w:val="38"/>
      <w:szCs w:val="3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2E2D33"/>
      <w:sz w:val="18"/>
      <w:szCs w:val="1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60" w:line="329"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after="180" w:line="252" w:lineRule="auto"/>
      <w:jc w:val="center"/>
    </w:pPr>
    <w:rPr>
      <w:rFonts w:ascii="Times New Roman" w:eastAsia="Times New Roman" w:hAnsi="Times New Roman" w:cs="Times New Roman"/>
      <w:b/>
      <w:bCs/>
      <w:color w:val="2E2D33"/>
      <w:sz w:val="28"/>
      <w:szCs w:val="28"/>
    </w:rPr>
  </w:style>
  <w:style w:type="paragraph" w:customStyle="1" w:styleId="Vnbnnidung50">
    <w:name w:val="Văn bản nội dung (5)"/>
    <w:basedOn w:val="Normal"/>
    <w:link w:val="Vnbnnidung5"/>
    <w:pPr>
      <w:spacing w:line="230" w:lineRule="auto"/>
    </w:pPr>
    <w:rPr>
      <w:rFonts w:ascii="Arial" w:eastAsia="Arial" w:hAnsi="Arial" w:cs="Arial"/>
      <w:sz w:val="34"/>
      <w:szCs w:val="34"/>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60">
    <w:name w:val="Văn bản nội dung (6)"/>
    <w:basedOn w:val="Normal"/>
    <w:link w:val="Vnbnnidung6"/>
    <w:pPr>
      <w:spacing w:line="192" w:lineRule="auto"/>
    </w:pPr>
    <w:rPr>
      <w:rFonts w:ascii="Arial" w:eastAsia="Arial" w:hAnsi="Arial" w:cs="Arial"/>
      <w:smallCaps/>
      <w:sz w:val="14"/>
      <w:szCs w:val="14"/>
    </w:rPr>
  </w:style>
  <w:style w:type="paragraph" w:customStyle="1" w:styleId="Tiu10">
    <w:name w:val="Tiêu đề #1"/>
    <w:basedOn w:val="Normal"/>
    <w:link w:val="Tiu1"/>
    <w:pPr>
      <w:outlineLvl w:val="0"/>
    </w:pPr>
    <w:rPr>
      <w:rFonts w:ascii="Times New Roman" w:eastAsia="Times New Roman" w:hAnsi="Times New Roman" w:cs="Times New Roman"/>
      <w:b/>
      <w:bCs/>
      <w:color w:val="2E2D33"/>
      <w:sz w:val="38"/>
      <w:szCs w:val="38"/>
    </w:rPr>
  </w:style>
  <w:style w:type="paragraph" w:customStyle="1" w:styleId="Vnbnnidung30">
    <w:name w:val="Văn bản nội dung (3)"/>
    <w:basedOn w:val="Normal"/>
    <w:link w:val="Vnbnnidung3"/>
    <w:rPr>
      <w:rFonts w:ascii="Arial" w:eastAsia="Arial" w:hAnsi="Arial" w:cs="Arial"/>
      <w:b/>
      <w:bCs/>
      <w:color w:val="2E2D33"/>
      <w:sz w:val="18"/>
      <w:szCs w:val="18"/>
    </w:rPr>
  </w:style>
  <w:style w:type="paragraph" w:customStyle="1" w:styleId="Tiu20">
    <w:name w:val="Tiêu đề #2"/>
    <w:basedOn w:val="Normal"/>
    <w:link w:val="Tiu2"/>
    <w:pPr>
      <w:spacing w:after="100" w:line="312" w:lineRule="auto"/>
      <w:ind w:firstLine="520"/>
      <w:outlineLvl w:val="1"/>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after="60" w:line="329"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7D6AA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ildonai.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O/X9Hwr65kbNDpIv3COj8YoQQ==">CgMxLjA4AHIhMU9ZN0NHQjl5VzdSTTBia0hLWFhmLWZiSjBxTUZvRlhL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4</cp:revision>
  <dcterms:created xsi:type="dcterms:W3CDTF">2024-05-07T04:02:00Z</dcterms:created>
  <dcterms:modified xsi:type="dcterms:W3CDTF">2024-05-07T04:03:00Z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3b4214be049ff145cdb9967cc86cb302da2ac65690316c703079d0f75723cd27</vt:lpwstr>
  </property>
</Properties>
</file>