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2E" w:rsidRDefault="00851D57" w:rsidP="001A778A">
      <w:pPr>
        <w:pBdr>
          <w:top w:val="nil"/>
          <w:left w:val="nil"/>
          <w:bottom w:val="nil"/>
          <w:right w:val="nil"/>
          <w:between w:val="nil"/>
        </w:pBdr>
        <w:tabs>
          <w:tab w:val="left" w:pos="432"/>
          <w:tab w:val="left" w:pos="562"/>
        </w:tabs>
        <w:spacing w:after="120" w:line="360" w:lineRule="auto"/>
        <w:jc w:val="both"/>
        <w:rPr>
          <w:rFonts w:ascii="Arial" w:eastAsia="Arial" w:hAnsi="Arial" w:cs="Arial"/>
          <w:b/>
          <w:color w:val="010000"/>
          <w:sz w:val="20"/>
          <w:szCs w:val="20"/>
        </w:rPr>
      </w:pPr>
      <w:r>
        <w:rPr>
          <w:rFonts w:ascii="Arial" w:hAnsi="Arial"/>
          <w:b/>
          <w:color w:val="010000"/>
          <w:sz w:val="20"/>
        </w:rPr>
        <w:t>HAF: Annual General Mandate 2024</w:t>
      </w:r>
    </w:p>
    <w:p w:rsidR="00CC002E" w:rsidRDefault="00851D57" w:rsidP="001A778A">
      <w:p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Pr>
          <w:rFonts w:ascii="Arial" w:hAnsi="Arial"/>
          <w:color w:val="010000"/>
          <w:sz w:val="20"/>
        </w:rPr>
        <w:t>On April 25, 2024, Hanoi Foodstuff Joint Stock Company announced General Mandate as follows:</w:t>
      </w:r>
    </w:p>
    <w:p w:rsidR="00CC002E" w:rsidRDefault="00851D57" w:rsidP="001A778A">
      <w:pPr>
        <w:keepNext/>
        <w:pBdr>
          <w:top w:val="nil"/>
          <w:left w:val="nil"/>
          <w:bottom w:val="nil"/>
          <w:right w:val="nil"/>
          <w:between w:val="nil"/>
        </w:pBdr>
        <w:tabs>
          <w:tab w:val="left" w:pos="432"/>
          <w:tab w:val="left" w:pos="8547"/>
        </w:tabs>
        <w:spacing w:after="120" w:line="360" w:lineRule="auto"/>
        <w:jc w:val="both"/>
        <w:rPr>
          <w:rFonts w:ascii="Arial" w:eastAsia="Arial" w:hAnsi="Arial" w:cs="Arial"/>
          <w:color w:val="010000"/>
          <w:sz w:val="20"/>
          <w:szCs w:val="20"/>
        </w:rPr>
      </w:pPr>
      <w:r>
        <w:rPr>
          <w:rFonts w:ascii="Arial" w:hAnsi="Arial"/>
          <w:color w:val="010000"/>
          <w:sz w:val="20"/>
        </w:rPr>
        <w:t xml:space="preserve">‎‎Article 1. The </w:t>
      </w:r>
      <w:r w:rsidR="001A778A">
        <w:rPr>
          <w:rFonts w:ascii="Arial" w:hAnsi="Arial"/>
          <w:color w:val="010000"/>
          <w:sz w:val="20"/>
        </w:rPr>
        <w:t>General Meeting</w:t>
      </w:r>
      <w:r>
        <w:rPr>
          <w:rFonts w:ascii="Arial" w:hAnsi="Arial"/>
          <w:color w:val="010000"/>
          <w:sz w:val="20"/>
        </w:rPr>
        <w:t xml:space="preserve"> of the Company has voted to approve the following General Mandates:</w:t>
      </w:r>
    </w:p>
    <w:p w:rsidR="00CC002E" w:rsidRDefault="00851D57" w:rsidP="001A778A">
      <w:pPr>
        <w:numPr>
          <w:ilvl w:val="0"/>
          <w:numId w:val="4"/>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1: The </w:t>
      </w:r>
      <w:r w:rsidR="001A778A">
        <w:rPr>
          <w:rFonts w:ascii="Arial" w:hAnsi="Arial"/>
          <w:color w:val="010000"/>
          <w:sz w:val="20"/>
        </w:rPr>
        <w:t>General Meeting</w:t>
      </w:r>
      <w:r>
        <w:rPr>
          <w:rFonts w:ascii="Arial" w:hAnsi="Arial"/>
          <w:color w:val="010000"/>
          <w:sz w:val="20"/>
        </w:rPr>
        <w:t xml:space="preserve"> approves the Board of Directors' Report on business performance in 2023 and business plan for 2024.</w:t>
      </w:r>
    </w:p>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2572"/>
        <w:gridCol w:w="1306"/>
        <w:gridCol w:w="1300"/>
        <w:gridCol w:w="1394"/>
        <w:gridCol w:w="1796"/>
      </w:tblGrid>
      <w:tr w:rsidR="00CC002E">
        <w:tc>
          <w:tcPr>
            <w:tcW w:w="64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72"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30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1300"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139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2023/Plan 2023 (%)</w:t>
            </w:r>
          </w:p>
        </w:tc>
        <w:tc>
          <w:tcPr>
            <w:tcW w:w="179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2023/Results 2022 (%)</w:t>
            </w:r>
          </w:p>
        </w:tc>
      </w:tr>
      <w:tr w:rsidR="00CC002E">
        <w:tc>
          <w:tcPr>
            <w:tcW w:w="64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72"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and other income (billion VND)</w:t>
            </w:r>
          </w:p>
        </w:tc>
        <w:tc>
          <w:tcPr>
            <w:tcW w:w="130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119.24</w:t>
            </w:r>
          </w:p>
        </w:tc>
        <w:tc>
          <w:tcPr>
            <w:tcW w:w="1300"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82.22</w:t>
            </w:r>
          </w:p>
        </w:tc>
        <w:tc>
          <w:tcPr>
            <w:tcW w:w="139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68.94%</w:t>
            </w:r>
          </w:p>
        </w:tc>
        <w:tc>
          <w:tcPr>
            <w:tcW w:w="179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75.13%</w:t>
            </w:r>
          </w:p>
        </w:tc>
      </w:tr>
      <w:tr w:rsidR="00CC002E">
        <w:tc>
          <w:tcPr>
            <w:tcW w:w="64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72"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(billion VND)</w:t>
            </w:r>
          </w:p>
        </w:tc>
        <w:tc>
          <w:tcPr>
            <w:tcW w:w="130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4.98</w:t>
            </w:r>
          </w:p>
        </w:tc>
        <w:tc>
          <w:tcPr>
            <w:tcW w:w="1300"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(19.42)</w:t>
            </w:r>
          </w:p>
        </w:tc>
        <w:tc>
          <w:tcPr>
            <w:tcW w:w="1394" w:type="dxa"/>
            <w:shd w:val="clear" w:color="auto" w:fill="auto"/>
            <w:tcMar>
              <w:top w:w="0" w:type="dxa"/>
              <w:bottom w:w="0" w:type="dxa"/>
            </w:tcMar>
            <w:vAlign w:val="center"/>
          </w:tcPr>
          <w:p w:rsidR="00CC002E" w:rsidRDefault="001A77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Fail to reach</w:t>
            </w:r>
            <w:r w:rsidR="00851D57">
              <w:rPr>
                <w:rFonts w:ascii="Arial" w:hAnsi="Arial"/>
                <w:color w:val="010000"/>
                <w:sz w:val="20"/>
              </w:rPr>
              <w:t xml:space="preserve"> the annual plan</w:t>
            </w:r>
          </w:p>
        </w:tc>
        <w:tc>
          <w:tcPr>
            <w:tcW w:w="179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Increased loss</w:t>
            </w:r>
          </w:p>
        </w:tc>
      </w:tr>
    </w:tbl>
    <w:p w:rsidR="00CC002E" w:rsidRDefault="00851D57" w:rsidP="001A77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for 2024:</w:t>
      </w:r>
    </w:p>
    <w:p w:rsidR="00CC002E" w:rsidRDefault="00851D57" w:rsidP="001A778A">
      <w:pPr>
        <w:numPr>
          <w:ilvl w:val="0"/>
          <w:numId w:val="3"/>
        </w:numPr>
        <w:pBdr>
          <w:top w:val="nil"/>
          <w:left w:val="nil"/>
          <w:bottom w:val="nil"/>
          <w:right w:val="nil"/>
          <w:between w:val="nil"/>
        </w:pBdr>
        <w:tabs>
          <w:tab w:val="left" w:pos="432"/>
          <w:tab w:val="left" w:pos="1261"/>
        </w:tabs>
        <w:spacing w:after="120" w:line="360" w:lineRule="auto"/>
        <w:jc w:val="both"/>
        <w:rPr>
          <w:rFonts w:ascii="Arial" w:eastAsia="Arial" w:hAnsi="Arial" w:cs="Arial"/>
          <w:color w:val="010000"/>
          <w:sz w:val="20"/>
          <w:szCs w:val="20"/>
        </w:rPr>
      </w:pPr>
      <w:r>
        <w:rPr>
          <w:rFonts w:ascii="Arial" w:hAnsi="Arial"/>
          <w:color w:val="010000"/>
          <w:sz w:val="20"/>
        </w:rPr>
        <w:t>Revenue in 2024: VND 114.29 billion, including:</w:t>
      </w:r>
    </w:p>
    <w:p w:rsidR="00CC002E" w:rsidRDefault="00851D57" w:rsidP="001A778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Real estate exploitation revenue:  VND 32.22 billion;</w:t>
      </w:r>
    </w:p>
    <w:p w:rsidR="00CC002E" w:rsidRDefault="00851D57" w:rsidP="001A778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Wholesale revenue: VND 77.02 billion;</w:t>
      </w:r>
    </w:p>
    <w:p w:rsidR="00CC002E" w:rsidRDefault="00851D57" w:rsidP="001A778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Revenue from services: VND 5.05 billion;</w:t>
      </w:r>
    </w:p>
    <w:p w:rsidR="00CC002E" w:rsidRDefault="00851D57" w:rsidP="001A778A">
      <w:pPr>
        <w:numPr>
          <w:ilvl w:val="0"/>
          <w:numId w:val="3"/>
        </w:numPr>
        <w:pBdr>
          <w:top w:val="nil"/>
          <w:left w:val="nil"/>
          <w:bottom w:val="nil"/>
          <w:right w:val="nil"/>
          <w:between w:val="nil"/>
        </w:pBdr>
        <w:tabs>
          <w:tab w:val="left" w:pos="432"/>
          <w:tab w:val="left" w:pos="1265"/>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Profit before tax: VND 11.05 billion</w:t>
      </w:r>
    </w:p>
    <w:p w:rsidR="00CC002E" w:rsidRDefault="00851D57" w:rsidP="001A778A">
      <w:pPr>
        <w:numPr>
          <w:ilvl w:val="0"/>
          <w:numId w:val="4"/>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2: The </w:t>
      </w:r>
      <w:r w:rsidR="001A778A">
        <w:rPr>
          <w:rFonts w:ascii="Arial" w:hAnsi="Arial"/>
          <w:color w:val="010000"/>
          <w:sz w:val="20"/>
        </w:rPr>
        <w:t>General Meeting</w:t>
      </w:r>
      <w:r>
        <w:rPr>
          <w:rFonts w:ascii="Arial" w:hAnsi="Arial"/>
          <w:color w:val="010000"/>
          <w:sz w:val="20"/>
        </w:rPr>
        <w:t xml:space="preserve"> approves the separate Financial Statements and the consolidated Financial Statements audited for 2023 of the Company according to Proposal No. 30/2024/</w:t>
      </w:r>
      <w:proofErr w:type="spellStart"/>
      <w:r>
        <w:rPr>
          <w:rFonts w:ascii="Arial" w:hAnsi="Arial"/>
          <w:color w:val="010000"/>
          <w:sz w:val="20"/>
        </w:rPr>
        <w:t>TTr</w:t>
      </w:r>
      <w:proofErr w:type="spellEnd"/>
      <w:r>
        <w:rPr>
          <w:rFonts w:ascii="Arial" w:hAnsi="Arial"/>
          <w:color w:val="010000"/>
          <w:sz w:val="20"/>
        </w:rPr>
        <w:t>-HDQT dated April 3, 2024.</w:t>
      </w:r>
    </w:p>
    <w:p w:rsidR="00CC002E" w:rsidRDefault="00851D57" w:rsidP="001A778A">
      <w:pPr>
        <w:numPr>
          <w:ilvl w:val="0"/>
          <w:numId w:val="4"/>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3: The </w:t>
      </w:r>
      <w:r w:rsidR="001A778A">
        <w:rPr>
          <w:rFonts w:ascii="Arial" w:hAnsi="Arial"/>
          <w:color w:val="010000"/>
          <w:sz w:val="20"/>
        </w:rPr>
        <w:t>General Meeting</w:t>
      </w:r>
      <w:r>
        <w:rPr>
          <w:rFonts w:ascii="Arial" w:hAnsi="Arial"/>
          <w:color w:val="010000"/>
          <w:sz w:val="20"/>
        </w:rPr>
        <w:t xml:space="preserve"> approves the Report on operational administration in 2023 and the Operational plan in 2024.</w:t>
      </w:r>
    </w:p>
    <w:p w:rsidR="00CC002E" w:rsidRDefault="00851D57" w:rsidP="001A778A">
      <w:pPr>
        <w:numPr>
          <w:ilvl w:val="0"/>
          <w:numId w:val="4"/>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4: The </w:t>
      </w:r>
      <w:r w:rsidR="001A778A">
        <w:rPr>
          <w:rFonts w:ascii="Arial" w:hAnsi="Arial"/>
          <w:color w:val="010000"/>
          <w:sz w:val="20"/>
        </w:rPr>
        <w:t>General Meeting</w:t>
      </w:r>
      <w:r>
        <w:rPr>
          <w:rFonts w:ascii="Arial" w:hAnsi="Arial"/>
          <w:color w:val="010000"/>
          <w:sz w:val="20"/>
        </w:rPr>
        <w:t xml:space="preserve"> authorizes the Board of Directors to review, approve, decide and adjust contents related to continuing the implementation and completion of the investment project to construct a new </w:t>
      </w:r>
      <w:proofErr w:type="spellStart"/>
      <w:r>
        <w:rPr>
          <w:rFonts w:ascii="Arial" w:hAnsi="Arial"/>
          <w:color w:val="010000"/>
          <w:sz w:val="20"/>
        </w:rPr>
        <w:t>Tuu</w:t>
      </w:r>
      <w:proofErr w:type="spellEnd"/>
      <w:r>
        <w:rPr>
          <w:rFonts w:ascii="Arial" w:hAnsi="Arial"/>
          <w:color w:val="010000"/>
          <w:sz w:val="20"/>
        </w:rPr>
        <w:t xml:space="preserve"> </w:t>
      </w:r>
      <w:proofErr w:type="spellStart"/>
      <w:r>
        <w:rPr>
          <w:rFonts w:ascii="Arial" w:hAnsi="Arial"/>
          <w:color w:val="010000"/>
          <w:sz w:val="20"/>
        </w:rPr>
        <w:t>Liet</w:t>
      </w:r>
      <w:proofErr w:type="spellEnd"/>
      <w:r>
        <w:rPr>
          <w:rFonts w:ascii="Arial" w:hAnsi="Arial"/>
          <w:color w:val="010000"/>
          <w:sz w:val="20"/>
        </w:rPr>
        <w:t xml:space="preserve"> Food Processing Factory on an area of 8,678 m2 at 162+164 </w:t>
      </w:r>
      <w:proofErr w:type="spellStart"/>
      <w:r>
        <w:rPr>
          <w:rFonts w:ascii="Arial" w:hAnsi="Arial"/>
          <w:color w:val="010000"/>
          <w:sz w:val="20"/>
        </w:rPr>
        <w:t>Tuu</w:t>
      </w:r>
      <w:proofErr w:type="spellEnd"/>
      <w:r>
        <w:rPr>
          <w:rFonts w:ascii="Arial" w:hAnsi="Arial"/>
          <w:color w:val="010000"/>
          <w:sz w:val="20"/>
        </w:rPr>
        <w:t xml:space="preserve"> </w:t>
      </w:r>
      <w:proofErr w:type="spellStart"/>
      <w:r>
        <w:rPr>
          <w:rFonts w:ascii="Arial" w:hAnsi="Arial"/>
          <w:color w:val="010000"/>
          <w:sz w:val="20"/>
        </w:rPr>
        <w:t>Liet</w:t>
      </w:r>
      <w:proofErr w:type="spellEnd"/>
      <w:r>
        <w:rPr>
          <w:rFonts w:ascii="Arial" w:hAnsi="Arial"/>
          <w:color w:val="010000"/>
          <w:sz w:val="20"/>
        </w:rPr>
        <w:t xml:space="preserve">, Tam Hiep commune, Thanh Tri district, Hanoi City ("Project") including but not limited to the Project's progress, scale, total investment, schedule and other contents of the Project (if necessary); signing, amending, supplementing contracts, documents, and related documents to implement the Project, ...; and organizing the implementation of related procedures and tasks during the Project execution. </w:t>
      </w:r>
    </w:p>
    <w:p w:rsidR="00CC002E" w:rsidRDefault="00851D57" w:rsidP="001A778A">
      <w:pPr>
        <w:numPr>
          <w:ilvl w:val="0"/>
          <w:numId w:val="4"/>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5: The </w:t>
      </w:r>
      <w:r w:rsidR="001A778A">
        <w:rPr>
          <w:rFonts w:ascii="Arial" w:hAnsi="Arial"/>
          <w:color w:val="010000"/>
          <w:sz w:val="20"/>
        </w:rPr>
        <w:t>General Meeting</w:t>
      </w:r>
      <w:r>
        <w:rPr>
          <w:rFonts w:ascii="Arial" w:hAnsi="Arial"/>
          <w:color w:val="010000"/>
          <w:sz w:val="20"/>
        </w:rPr>
        <w:t xml:space="preserve"> approves the Supervisory Board's activity report for 2023 and the Supervisory Board's operation plan for 2024.</w:t>
      </w:r>
    </w:p>
    <w:p w:rsidR="00CC002E" w:rsidRDefault="00851D57" w:rsidP="001A778A">
      <w:pPr>
        <w:numPr>
          <w:ilvl w:val="0"/>
          <w:numId w:val="4"/>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General Mandate 6: The </w:t>
      </w:r>
      <w:r w:rsidR="001A778A">
        <w:rPr>
          <w:rFonts w:ascii="Arial" w:hAnsi="Arial"/>
          <w:color w:val="010000"/>
          <w:sz w:val="20"/>
        </w:rPr>
        <w:t>General Meeting</w:t>
      </w:r>
      <w:r>
        <w:rPr>
          <w:rFonts w:ascii="Arial" w:hAnsi="Arial"/>
          <w:color w:val="010000"/>
          <w:sz w:val="20"/>
        </w:rPr>
        <w:t xml:space="preserve"> approves the remuneration settlement for members of the Board of Directors and Supervisory Board in 2023 and the remuneration plan for the Board of Directors and Supervisory Board in 2024 according to the contents of Proposal No. 27/</w:t>
      </w:r>
      <w:proofErr w:type="spellStart"/>
      <w:r>
        <w:rPr>
          <w:rFonts w:ascii="Arial" w:hAnsi="Arial"/>
          <w:color w:val="010000"/>
          <w:sz w:val="20"/>
        </w:rPr>
        <w:t>TTr</w:t>
      </w:r>
      <w:proofErr w:type="spellEnd"/>
      <w:r>
        <w:rPr>
          <w:rFonts w:ascii="Arial" w:hAnsi="Arial"/>
          <w:color w:val="010000"/>
          <w:sz w:val="20"/>
        </w:rPr>
        <w:t>-HDQT dated April 2, 2024, specifically:</w:t>
      </w:r>
    </w:p>
    <w:p w:rsidR="00CC002E" w:rsidRDefault="00851D57" w:rsidP="001A778A">
      <w:pPr>
        <w:numPr>
          <w:ilvl w:val="1"/>
          <w:numId w:val="2"/>
        </w:numPr>
        <w:pBdr>
          <w:top w:val="nil"/>
          <w:left w:val="nil"/>
          <w:bottom w:val="nil"/>
          <w:right w:val="nil"/>
          <w:between w:val="nil"/>
        </w:pBdr>
        <w:tabs>
          <w:tab w:val="left" w:pos="432"/>
          <w:tab w:val="left" w:pos="725"/>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settlement for members of the Board of Directors and Supervisory Board of the Company in 2023 is VND 252,000,000 (including personal income tax)</w:t>
      </w:r>
    </w:p>
    <w:p w:rsidR="00CC002E" w:rsidRDefault="00851D57" w:rsidP="001A778A">
      <w:pPr>
        <w:numPr>
          <w:ilvl w:val="0"/>
          <w:numId w:val="3"/>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Pr>
          <w:rFonts w:ascii="Arial" w:hAnsi="Arial"/>
          <w:color w:val="010000"/>
          <w:sz w:val="20"/>
        </w:rPr>
        <w:t>Total remuneration of the Board of Directors (12 months): VND 204,000,000/year</w:t>
      </w:r>
    </w:p>
    <w:p w:rsidR="00CC002E" w:rsidRDefault="00851D57" w:rsidP="001A778A">
      <w:pPr>
        <w:numPr>
          <w:ilvl w:val="0"/>
          <w:numId w:val="3"/>
        </w:numPr>
        <w:pBdr>
          <w:top w:val="nil"/>
          <w:left w:val="nil"/>
          <w:bottom w:val="nil"/>
          <w:right w:val="nil"/>
          <w:between w:val="nil"/>
        </w:pBdr>
        <w:tabs>
          <w:tab w:val="left" w:pos="432"/>
          <w:tab w:val="left" w:pos="859"/>
        </w:tabs>
        <w:spacing w:after="120" w:line="360" w:lineRule="auto"/>
        <w:jc w:val="both"/>
        <w:rPr>
          <w:rFonts w:ascii="Arial" w:eastAsia="Arial" w:hAnsi="Arial" w:cs="Arial"/>
          <w:color w:val="010000"/>
          <w:sz w:val="20"/>
          <w:szCs w:val="20"/>
        </w:rPr>
      </w:pPr>
      <w:r>
        <w:rPr>
          <w:rFonts w:ascii="Arial" w:hAnsi="Arial"/>
          <w:color w:val="010000"/>
          <w:sz w:val="20"/>
        </w:rPr>
        <w:t>Total remuneration of the Supervisory Board (12 months): VND 48,000,000/year</w:t>
      </w:r>
    </w:p>
    <w:p w:rsidR="00CC002E" w:rsidRDefault="00851D57" w:rsidP="001A778A">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plan for members of the Board of Directors and Supervisory Board in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3114"/>
        <w:gridCol w:w="1668"/>
        <w:gridCol w:w="2976"/>
      </w:tblGrid>
      <w:tr w:rsidR="00CC002E">
        <w:tc>
          <w:tcPr>
            <w:tcW w:w="125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11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668"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Quantity</w:t>
            </w:r>
          </w:p>
        </w:tc>
        <w:tc>
          <w:tcPr>
            <w:tcW w:w="297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(VND/person/month)</w:t>
            </w:r>
          </w:p>
        </w:tc>
      </w:tr>
      <w:tr w:rsidR="00CC002E">
        <w:tc>
          <w:tcPr>
            <w:tcW w:w="125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11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668"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976" w:type="dxa"/>
            <w:shd w:val="clear" w:color="auto" w:fill="auto"/>
            <w:tcMar>
              <w:top w:w="0" w:type="dxa"/>
              <w:bottom w:w="0" w:type="dxa"/>
            </w:tcMar>
            <w:vAlign w:val="center"/>
          </w:tcPr>
          <w:p w:rsidR="00CC002E" w:rsidRDefault="00CC002E">
            <w:pPr>
              <w:tabs>
                <w:tab w:val="left" w:pos="432"/>
              </w:tabs>
              <w:spacing w:after="120" w:line="360" w:lineRule="auto"/>
              <w:rPr>
                <w:rFonts w:ascii="Arial" w:eastAsia="Arial" w:hAnsi="Arial" w:cs="Arial"/>
                <w:color w:val="010000"/>
                <w:sz w:val="20"/>
                <w:szCs w:val="20"/>
              </w:rPr>
            </w:pPr>
          </w:p>
        </w:tc>
      </w:tr>
      <w:tr w:rsidR="00CC002E">
        <w:tc>
          <w:tcPr>
            <w:tcW w:w="125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1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68"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97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5,000,000</w:t>
            </w:r>
          </w:p>
        </w:tc>
      </w:tr>
      <w:tr w:rsidR="00CC002E">
        <w:tc>
          <w:tcPr>
            <w:tcW w:w="125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1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68"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97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3,000,000</w:t>
            </w:r>
          </w:p>
        </w:tc>
      </w:tr>
      <w:tr w:rsidR="00CC002E">
        <w:tc>
          <w:tcPr>
            <w:tcW w:w="125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311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668"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976" w:type="dxa"/>
            <w:shd w:val="clear" w:color="auto" w:fill="auto"/>
            <w:tcMar>
              <w:top w:w="0" w:type="dxa"/>
              <w:bottom w:w="0" w:type="dxa"/>
            </w:tcMar>
            <w:vAlign w:val="center"/>
          </w:tcPr>
          <w:p w:rsidR="00CC002E" w:rsidRDefault="00CC002E">
            <w:pPr>
              <w:tabs>
                <w:tab w:val="left" w:pos="432"/>
              </w:tabs>
              <w:spacing w:after="120" w:line="360" w:lineRule="auto"/>
              <w:rPr>
                <w:rFonts w:ascii="Arial" w:eastAsia="Arial" w:hAnsi="Arial" w:cs="Arial"/>
                <w:color w:val="010000"/>
                <w:sz w:val="20"/>
                <w:szCs w:val="20"/>
              </w:rPr>
            </w:pPr>
          </w:p>
        </w:tc>
      </w:tr>
      <w:tr w:rsidR="00CC002E">
        <w:tc>
          <w:tcPr>
            <w:tcW w:w="125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1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68"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97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2,000,000</w:t>
            </w:r>
          </w:p>
        </w:tc>
      </w:tr>
      <w:tr w:rsidR="00CC002E">
        <w:tc>
          <w:tcPr>
            <w:tcW w:w="1259"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14"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668"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976" w:type="dxa"/>
            <w:shd w:val="clear" w:color="auto" w:fill="auto"/>
            <w:tcMar>
              <w:top w:w="0" w:type="dxa"/>
              <w:bottom w:w="0" w:type="dxa"/>
            </w:tcMar>
            <w:vAlign w:val="center"/>
          </w:tcPr>
          <w:p w:rsidR="00CC002E" w:rsidRDefault="00851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w:t>
            </w:r>
          </w:p>
        </w:tc>
      </w:tr>
    </w:tbl>
    <w:p w:rsidR="00CC002E" w:rsidRDefault="00851D57" w:rsidP="001A77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total remuneration of the Board of Directors and Supervisory Board in 2024 is VND 252,000,000/year (including personal income tax, including 12 months of remuneration).</w:t>
      </w:r>
    </w:p>
    <w:p w:rsidR="00CC002E" w:rsidRDefault="00851D57" w:rsidP="001A778A">
      <w:pPr>
        <w:numPr>
          <w:ilvl w:val="0"/>
          <w:numId w:val="4"/>
        </w:numPr>
        <w:pBdr>
          <w:top w:val="nil"/>
          <w:left w:val="nil"/>
          <w:bottom w:val="nil"/>
          <w:right w:val="nil"/>
          <w:between w:val="nil"/>
        </w:pBdr>
        <w:tabs>
          <w:tab w:val="left" w:pos="309"/>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7: The </w:t>
      </w:r>
      <w:r w:rsidR="001A778A">
        <w:rPr>
          <w:rFonts w:ascii="Arial" w:hAnsi="Arial"/>
          <w:color w:val="010000"/>
          <w:sz w:val="20"/>
        </w:rPr>
        <w:t>General Meeting</w:t>
      </w:r>
      <w:r>
        <w:rPr>
          <w:rFonts w:ascii="Arial" w:hAnsi="Arial"/>
          <w:color w:val="010000"/>
          <w:sz w:val="20"/>
        </w:rPr>
        <w:t xml:space="preserve"> approves not making appropriations to funds and not paying dividends in 2023 to shareholders according to the contents of Proposal No. 28/</w:t>
      </w:r>
      <w:proofErr w:type="spellStart"/>
      <w:r>
        <w:rPr>
          <w:rFonts w:ascii="Arial" w:hAnsi="Arial"/>
          <w:color w:val="010000"/>
          <w:sz w:val="20"/>
        </w:rPr>
        <w:t>TTr</w:t>
      </w:r>
      <w:proofErr w:type="spellEnd"/>
      <w:r>
        <w:rPr>
          <w:rFonts w:ascii="Arial" w:hAnsi="Arial"/>
          <w:color w:val="010000"/>
          <w:sz w:val="20"/>
        </w:rPr>
        <w:t>-HDQT dated April 2, 2024 of the Company's Board of Directors.</w:t>
      </w:r>
    </w:p>
    <w:p w:rsidR="00CC002E" w:rsidRDefault="00851D57" w:rsidP="001A778A">
      <w:pPr>
        <w:numPr>
          <w:ilvl w:val="0"/>
          <w:numId w:val="4"/>
        </w:numPr>
        <w:pBdr>
          <w:top w:val="nil"/>
          <w:left w:val="nil"/>
          <w:bottom w:val="nil"/>
          <w:right w:val="nil"/>
          <w:between w:val="nil"/>
        </w:pBdr>
        <w:tabs>
          <w:tab w:val="left" w:pos="309"/>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8: The </w:t>
      </w:r>
      <w:r w:rsidR="001A778A">
        <w:rPr>
          <w:rFonts w:ascii="Arial" w:hAnsi="Arial"/>
          <w:color w:val="010000"/>
          <w:sz w:val="20"/>
        </w:rPr>
        <w:t>General Meeting</w:t>
      </w:r>
      <w:r>
        <w:rPr>
          <w:rFonts w:ascii="Arial" w:hAnsi="Arial"/>
          <w:color w:val="010000"/>
          <w:sz w:val="20"/>
        </w:rPr>
        <w:t xml:space="preserve"> approves authorizing the Board of Directors to decide on selecting an audit company to audit the Financial Statements for 2024 according to the contents of Proposal No. 29/</w:t>
      </w:r>
      <w:proofErr w:type="spellStart"/>
      <w:r>
        <w:rPr>
          <w:rFonts w:ascii="Arial" w:hAnsi="Arial"/>
          <w:color w:val="010000"/>
          <w:sz w:val="20"/>
        </w:rPr>
        <w:t>TTr</w:t>
      </w:r>
      <w:proofErr w:type="spellEnd"/>
      <w:r>
        <w:rPr>
          <w:rFonts w:ascii="Arial" w:hAnsi="Arial"/>
          <w:color w:val="010000"/>
          <w:sz w:val="20"/>
        </w:rPr>
        <w:t>-BKS dated April 2, 2024.</w:t>
      </w:r>
    </w:p>
    <w:p w:rsidR="00CC002E" w:rsidRDefault="00851D57" w:rsidP="001A778A">
      <w:pPr>
        <w:numPr>
          <w:ilvl w:val="0"/>
          <w:numId w:val="4"/>
        </w:numPr>
        <w:pBdr>
          <w:top w:val="nil"/>
          <w:left w:val="nil"/>
          <w:bottom w:val="nil"/>
          <w:right w:val="nil"/>
          <w:between w:val="nil"/>
        </w:pBdr>
        <w:tabs>
          <w:tab w:val="left" w:pos="309"/>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9: The </w:t>
      </w:r>
      <w:r w:rsidR="001A778A">
        <w:rPr>
          <w:rFonts w:ascii="Arial" w:hAnsi="Arial"/>
          <w:color w:val="010000"/>
          <w:sz w:val="20"/>
        </w:rPr>
        <w:t>General Meeting</w:t>
      </w:r>
      <w:r>
        <w:rPr>
          <w:rFonts w:ascii="Arial" w:hAnsi="Arial"/>
          <w:color w:val="010000"/>
          <w:sz w:val="20"/>
        </w:rPr>
        <w:t xml:space="preserve"> approves the election of a replacement member of the Board of Directors for the remaining time of the 2020-2025 term as follows:</w:t>
      </w:r>
    </w:p>
    <w:p w:rsidR="00CC002E" w:rsidRDefault="00851D57" w:rsidP="001A778A">
      <w:pPr>
        <w:numPr>
          <w:ilvl w:val="0"/>
          <w:numId w:val="3"/>
        </w:numPr>
        <w:pBdr>
          <w:top w:val="nil"/>
          <w:left w:val="nil"/>
          <w:bottom w:val="nil"/>
          <w:right w:val="nil"/>
          <w:between w:val="nil"/>
        </w:pBdr>
        <w:tabs>
          <w:tab w:val="left" w:pos="453"/>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1A778A">
        <w:rPr>
          <w:rFonts w:ascii="Arial" w:hAnsi="Arial"/>
          <w:color w:val="010000"/>
          <w:sz w:val="20"/>
        </w:rPr>
        <w:t>General Meeting</w:t>
      </w:r>
      <w:r>
        <w:rPr>
          <w:rFonts w:ascii="Arial" w:hAnsi="Arial"/>
          <w:color w:val="010000"/>
          <w:sz w:val="20"/>
        </w:rPr>
        <w:t xml:space="preserve"> approves Ms. Pham Diem </w:t>
      </w:r>
      <w:proofErr w:type="spellStart"/>
      <w:r>
        <w:rPr>
          <w:rFonts w:ascii="Arial" w:hAnsi="Arial"/>
          <w:color w:val="010000"/>
          <w:sz w:val="20"/>
        </w:rPr>
        <w:t>Hoa's</w:t>
      </w:r>
      <w:proofErr w:type="spellEnd"/>
      <w:r>
        <w:rPr>
          <w:rFonts w:ascii="Arial" w:hAnsi="Arial"/>
          <w:color w:val="010000"/>
          <w:sz w:val="20"/>
        </w:rPr>
        <w:t xml:space="preserve"> resignation from the position of member of the Board of Directors for the 2020-2025 term.</w:t>
      </w:r>
    </w:p>
    <w:p w:rsidR="00CC002E" w:rsidRDefault="00851D57" w:rsidP="001A778A">
      <w:pPr>
        <w:numPr>
          <w:ilvl w:val="0"/>
          <w:numId w:val="3"/>
        </w:numPr>
        <w:pBdr>
          <w:top w:val="nil"/>
          <w:left w:val="nil"/>
          <w:bottom w:val="nil"/>
          <w:right w:val="nil"/>
          <w:between w:val="nil"/>
        </w:pBdr>
        <w:tabs>
          <w:tab w:val="left" w:pos="453"/>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1A778A">
        <w:rPr>
          <w:rFonts w:ascii="Arial" w:hAnsi="Arial"/>
          <w:color w:val="010000"/>
          <w:sz w:val="20"/>
        </w:rPr>
        <w:t>General Meeting</w:t>
      </w:r>
      <w:r>
        <w:rPr>
          <w:rFonts w:ascii="Arial" w:hAnsi="Arial"/>
          <w:color w:val="010000"/>
          <w:sz w:val="20"/>
        </w:rPr>
        <w:t xml:space="preserve"> approves Ms. Lai Ha Phuong's election as a member of the Company's Board of Directors for the remaining time of the 2020-2025 term.</w:t>
      </w:r>
    </w:p>
    <w:p w:rsidR="00CC002E" w:rsidRDefault="00851D57" w:rsidP="001A778A">
      <w:pPr>
        <w:numPr>
          <w:ilvl w:val="0"/>
          <w:numId w:val="4"/>
        </w:numPr>
        <w:pBdr>
          <w:top w:val="nil"/>
          <w:left w:val="nil"/>
          <w:bottom w:val="nil"/>
          <w:right w:val="nil"/>
          <w:between w:val="nil"/>
        </w:pBdr>
        <w:tabs>
          <w:tab w:val="left" w:pos="453"/>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10: The Meeting fully authorized the Board of Directors and allowed the Board of Directors to authorize the Chair or other members of the Board of Directors to review, decide, and implement the contents reviewed and approved by the Meeting; to decide on other contents under the </w:t>
      </w:r>
      <w:r>
        <w:rPr>
          <w:rFonts w:ascii="Arial" w:hAnsi="Arial"/>
          <w:color w:val="010000"/>
          <w:sz w:val="20"/>
        </w:rPr>
        <w:lastRenderedPageBreak/>
        <w:t xml:space="preserve">authority of the </w:t>
      </w:r>
      <w:r w:rsidR="001A778A">
        <w:rPr>
          <w:rFonts w:ascii="Arial" w:hAnsi="Arial"/>
          <w:color w:val="010000"/>
          <w:sz w:val="20"/>
        </w:rPr>
        <w:t>General Meeting</w:t>
      </w:r>
      <w:r>
        <w:rPr>
          <w:rFonts w:ascii="Arial" w:hAnsi="Arial"/>
          <w:color w:val="010000"/>
          <w:sz w:val="20"/>
        </w:rPr>
        <w:t xml:space="preserve">, which arises and must be resolved between two Annual </w:t>
      </w:r>
      <w:r w:rsidR="001A778A">
        <w:rPr>
          <w:rFonts w:ascii="Arial" w:hAnsi="Arial"/>
          <w:color w:val="010000"/>
          <w:sz w:val="20"/>
        </w:rPr>
        <w:t>General Meeting</w:t>
      </w:r>
      <w:r>
        <w:rPr>
          <w:rFonts w:ascii="Arial" w:hAnsi="Arial"/>
          <w:color w:val="010000"/>
          <w:sz w:val="20"/>
        </w:rPr>
        <w:t xml:space="preserve"> and carry out relevant procedures </w:t>
      </w:r>
      <w:r w:rsidR="001A778A">
        <w:rPr>
          <w:rFonts w:ascii="Arial" w:hAnsi="Arial"/>
          <w:color w:val="010000"/>
          <w:sz w:val="20"/>
        </w:rPr>
        <w:t>as per</w:t>
      </w:r>
      <w:r>
        <w:rPr>
          <w:rFonts w:ascii="Arial" w:hAnsi="Arial"/>
          <w:color w:val="010000"/>
          <w:sz w:val="20"/>
        </w:rPr>
        <w:t xml:space="preserve"> regulations. The contents of the General Mandates and authorizations according to the Annual General Mandate 2024 take effect from the date of their approval and do not limit the validity period until the </w:t>
      </w:r>
      <w:r w:rsidR="001A778A">
        <w:rPr>
          <w:rFonts w:ascii="Arial" w:hAnsi="Arial"/>
          <w:color w:val="010000"/>
          <w:sz w:val="20"/>
        </w:rPr>
        <w:t>General Meeting</w:t>
      </w:r>
      <w:r>
        <w:rPr>
          <w:rFonts w:ascii="Arial" w:hAnsi="Arial"/>
          <w:color w:val="010000"/>
          <w:sz w:val="20"/>
        </w:rPr>
        <w:t xml:space="preserve"> makes other decisions to replace them.</w:t>
      </w:r>
    </w:p>
    <w:p w:rsidR="00CC002E" w:rsidRDefault="00851D57" w:rsidP="001A77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This General Mandate takes effect from the date of its signing.</w:t>
      </w:r>
    </w:p>
    <w:p w:rsidR="00CC002E" w:rsidRDefault="00851D57" w:rsidP="001A77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Shareholde</w:t>
      </w:r>
      <w:r w:rsidR="001A778A">
        <w:rPr>
          <w:rFonts w:ascii="Arial" w:hAnsi="Arial"/>
          <w:color w:val="010000"/>
          <w:sz w:val="20"/>
        </w:rPr>
        <w:t xml:space="preserve">rs, the Board of Directors, </w:t>
      </w:r>
      <w:bookmarkStart w:id="1" w:name="_GoBack"/>
      <w:bookmarkEnd w:id="1"/>
      <w:r>
        <w:rPr>
          <w:rFonts w:ascii="Arial" w:hAnsi="Arial"/>
          <w:color w:val="010000"/>
          <w:sz w:val="20"/>
        </w:rPr>
        <w:t xml:space="preserve">Supervisory Board, </w:t>
      </w:r>
      <w:r w:rsidR="001A778A">
        <w:rPr>
          <w:rFonts w:ascii="Arial" w:hAnsi="Arial"/>
          <w:color w:val="010000"/>
          <w:sz w:val="20"/>
        </w:rPr>
        <w:t>Executive Board</w:t>
      </w:r>
      <w:r>
        <w:rPr>
          <w:rFonts w:ascii="Arial" w:hAnsi="Arial"/>
          <w:color w:val="010000"/>
          <w:sz w:val="20"/>
        </w:rPr>
        <w:t>, Heads of departments/units of the Company and related individuals are responsible for the implementation of this General Mandate.</w:t>
      </w:r>
    </w:p>
    <w:p w:rsidR="00CC002E" w:rsidRDefault="00CC002E" w:rsidP="001A778A">
      <w:pPr>
        <w:tabs>
          <w:tab w:val="left" w:pos="432"/>
        </w:tabs>
        <w:spacing w:after="120" w:line="360" w:lineRule="auto"/>
        <w:jc w:val="both"/>
        <w:rPr>
          <w:rFonts w:ascii="Arial" w:eastAsia="Arial" w:hAnsi="Arial" w:cs="Arial"/>
          <w:color w:val="010000"/>
          <w:sz w:val="20"/>
          <w:szCs w:val="20"/>
        </w:rPr>
      </w:pPr>
    </w:p>
    <w:p w:rsidR="00CC002E" w:rsidRDefault="00CC002E" w:rsidP="001A778A">
      <w:pPr>
        <w:pBdr>
          <w:top w:val="nil"/>
          <w:left w:val="nil"/>
          <w:bottom w:val="nil"/>
          <w:right w:val="nil"/>
          <w:between w:val="nil"/>
        </w:pBdr>
        <w:tabs>
          <w:tab w:val="left" w:pos="432"/>
          <w:tab w:val="left" w:pos="1282"/>
        </w:tabs>
        <w:spacing w:after="120" w:line="360" w:lineRule="auto"/>
        <w:jc w:val="both"/>
        <w:rPr>
          <w:rFonts w:ascii="Arial" w:eastAsia="Arial" w:hAnsi="Arial" w:cs="Arial"/>
          <w:color w:val="010000"/>
          <w:sz w:val="20"/>
          <w:szCs w:val="20"/>
        </w:rPr>
      </w:pPr>
    </w:p>
    <w:sectPr w:rsidR="00CC002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0AD"/>
    <w:multiLevelType w:val="multilevel"/>
    <w:tmpl w:val="E63635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CE20A6"/>
    <w:multiLevelType w:val="multilevel"/>
    <w:tmpl w:val="8AF0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D15A90"/>
    <w:multiLevelType w:val="multilevel"/>
    <w:tmpl w:val="F9781D2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17435F6"/>
    <w:multiLevelType w:val="multilevel"/>
    <w:tmpl w:val="D9342E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E"/>
    <w:rsid w:val="001A778A"/>
    <w:rsid w:val="00851D57"/>
    <w:rsid w:val="00CC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2065C"/>
  <w15:docId w15:val="{B74E80B2-4FD3-4C78-8A5F-EB4F07C9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Segoe UI" w:eastAsia="Segoe UI" w:hAnsi="Segoe UI" w:cs="Segoe UI"/>
      <w:b/>
      <w:bCs/>
      <w:i w:val="0"/>
      <w:iCs w:val="0"/>
      <w:smallCaps w:val="0"/>
      <w:strike w:val="0"/>
      <w:color w:val="BC3651"/>
      <w:w w:val="7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C3651"/>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346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264" w:lineRule="auto"/>
      <w:jc w:val="right"/>
    </w:pPr>
    <w:rPr>
      <w:rFonts w:ascii="Segoe UI" w:eastAsia="Segoe UI" w:hAnsi="Segoe UI" w:cs="Segoe UI"/>
      <w:b/>
      <w:bCs/>
      <w:color w:val="BC3651"/>
      <w:w w:val="70"/>
      <w:sz w:val="20"/>
      <w:szCs w:val="20"/>
    </w:rPr>
  </w:style>
  <w:style w:type="paragraph" w:customStyle="1" w:styleId="Tablecaption0">
    <w:name w:val="Table caption"/>
    <w:basedOn w:val="Normal"/>
    <w:link w:val="Tablecaption"/>
    <w:pPr>
      <w:spacing w:line="274" w:lineRule="auto"/>
    </w:pPr>
    <w:rPr>
      <w:rFonts w:ascii="Times New Roman" w:eastAsia="Times New Roman" w:hAnsi="Times New Roman" w:cs="Times New Roman"/>
      <w:b/>
      <w:bCs/>
      <w:sz w:val="22"/>
      <w:szCs w:val="22"/>
    </w:rPr>
  </w:style>
  <w:style w:type="paragraph" w:customStyle="1" w:styleId="Other0">
    <w:name w:val="Other"/>
    <w:basedOn w:val="Normal"/>
    <w:link w:val="Other"/>
    <w:pPr>
      <w:spacing w:line="300"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302" w:lineRule="auto"/>
      <w:ind w:firstLine="1000"/>
      <w:outlineLvl w:val="1"/>
    </w:pPr>
    <w:rPr>
      <w:rFonts w:ascii="Times New Roman" w:eastAsia="Times New Roman" w:hAnsi="Times New Roman" w:cs="Times New Roman"/>
      <w:b/>
      <w:bCs/>
      <w:i/>
      <w:iCs/>
      <w:sz w:val="22"/>
      <w:szCs w:val="22"/>
    </w:rPr>
  </w:style>
  <w:style w:type="paragraph" w:customStyle="1" w:styleId="Bodytext40">
    <w:name w:val="Body text (4)"/>
    <w:basedOn w:val="Normal"/>
    <w:link w:val="Bodytext4"/>
    <w:rPr>
      <w:rFonts w:ascii="Arial" w:eastAsia="Arial" w:hAnsi="Arial" w:cs="Arial"/>
      <w:color w:val="BC3651"/>
      <w:sz w:val="22"/>
      <w:szCs w:val="22"/>
    </w:rPr>
  </w:style>
  <w:style w:type="paragraph" w:customStyle="1" w:styleId="Bodytext20">
    <w:name w:val="Body text (2)"/>
    <w:basedOn w:val="Normal"/>
    <w:link w:val="Bodytext2"/>
    <w:rPr>
      <w:rFonts w:ascii="Times New Roman" w:eastAsia="Times New Roman" w:hAnsi="Times New Roman" w:cs="Times New Roman"/>
      <w:b/>
      <w:b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CPvEb3NkqWidANaxJMHNeDpGKQ==">CgMxLjAyCGguZ2pkZ3hzOAByITF1TlBiN0Y5Q29UblhWUW43Nkl0ellfUWNGTDhCZVp0Vw==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2024-05-07T04:11:00Z</dcterms:created>
  <dcterms:modified xsi:type="dcterms:W3CDTF">2024-05-07T04:11:00Z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862aa396a63eef7c48322beedc9e1b062cfa80afbd87f589b68757293ab389f4</vt:lpwstr>
  </property>
</Properties>
</file>