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92E" w:rsidRPr="00737D97" w:rsidRDefault="00737D97" w:rsidP="00C92DE7">
      <w:pPr>
        <w:pBdr>
          <w:top w:val="nil"/>
          <w:left w:val="nil"/>
          <w:bottom w:val="nil"/>
          <w:right w:val="nil"/>
          <w:between w:val="nil"/>
        </w:pBdr>
        <w:tabs>
          <w:tab w:val="left" w:pos="426"/>
        </w:tabs>
        <w:spacing w:after="120" w:line="360" w:lineRule="auto"/>
        <w:jc w:val="both"/>
        <w:rPr>
          <w:rFonts w:ascii="Arial" w:eastAsia="Arial" w:hAnsi="Arial" w:cs="Arial"/>
          <w:b/>
          <w:color w:val="010000"/>
          <w:sz w:val="20"/>
          <w:szCs w:val="20"/>
        </w:rPr>
      </w:pPr>
      <w:r>
        <w:rPr>
          <w:rFonts w:ascii="Arial" w:hAnsi="Arial"/>
          <w:b/>
          <w:bCs/>
          <w:color w:val="010000"/>
          <w:sz w:val="20"/>
        </w:rPr>
        <w:t>HC1:</w:t>
      </w:r>
      <w:r>
        <w:rPr>
          <w:rFonts w:ascii="Arial" w:hAnsi="Arial"/>
          <w:b/>
          <w:color w:val="010000"/>
          <w:sz w:val="20"/>
        </w:rPr>
        <w:t xml:space="preserve"> Annual General Mandate 2024</w:t>
      </w:r>
    </w:p>
    <w:p w:rsidR="004F492E" w:rsidRPr="00737D97" w:rsidRDefault="00737D97" w:rsidP="00C92DE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On April 26, Hanoi Construction Joint Stock Company No.1 announced General Mandate No. 199 NQ/DHDCD/2024 as follows:</w:t>
      </w:r>
    </w:p>
    <w:p w:rsidR="004F492E" w:rsidRPr="00737D97" w:rsidRDefault="00737D97" w:rsidP="00C92DE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Article 1. The </w:t>
      </w:r>
      <w:r w:rsidR="00C92DE7">
        <w:rPr>
          <w:rFonts w:ascii="Arial" w:hAnsi="Arial"/>
          <w:color w:val="010000"/>
          <w:sz w:val="20"/>
        </w:rPr>
        <w:t>General Meeting</w:t>
      </w:r>
      <w:r>
        <w:rPr>
          <w:rFonts w:ascii="Arial" w:hAnsi="Arial"/>
          <w:color w:val="010000"/>
          <w:sz w:val="20"/>
        </w:rPr>
        <w:t xml:space="preserve"> of Hanoi Construction Joint Stock Company No.1 approves the following resolutions:</w:t>
      </w:r>
    </w:p>
    <w:p w:rsidR="004F492E" w:rsidRPr="00737D97" w:rsidRDefault="00737D97" w:rsidP="00C92DE7">
      <w:pPr>
        <w:numPr>
          <w:ilvl w:val="0"/>
          <w:numId w:val="3"/>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General Mandate 1: The </w:t>
      </w:r>
      <w:r w:rsidR="00C92DE7">
        <w:rPr>
          <w:rFonts w:ascii="Arial" w:hAnsi="Arial"/>
          <w:color w:val="010000"/>
          <w:sz w:val="20"/>
        </w:rPr>
        <w:t>General Meeting</w:t>
      </w:r>
      <w:r>
        <w:rPr>
          <w:rFonts w:ascii="Arial" w:hAnsi="Arial"/>
          <w:color w:val="010000"/>
          <w:sz w:val="20"/>
        </w:rPr>
        <w:t xml:space="preserve"> approves the Report on production and business results in 2023, production and business plan for 2024 of the Company. The main targets of the implementation results 2023 and the plan 2024 are as follows:</w:t>
      </w:r>
    </w:p>
    <w:p w:rsidR="004F492E" w:rsidRPr="00737D97" w:rsidRDefault="00737D97" w:rsidP="00C92DE7">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Results of production and business activities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6"/>
        <w:gridCol w:w="2553"/>
        <w:gridCol w:w="1721"/>
        <w:gridCol w:w="1328"/>
        <w:gridCol w:w="1478"/>
        <w:gridCol w:w="1241"/>
      </w:tblGrid>
      <w:tr w:rsidR="004F492E" w:rsidRPr="00737D97" w:rsidTr="00737D97">
        <w:tc>
          <w:tcPr>
            <w:tcW w:w="393"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1423"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Target</w:t>
            </w:r>
          </w:p>
        </w:tc>
        <w:tc>
          <w:tcPr>
            <w:tcW w:w="920"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Unit</w:t>
            </w:r>
          </w:p>
        </w:tc>
        <w:tc>
          <w:tcPr>
            <w:tcW w:w="743"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Plan 2023 </w:t>
            </w:r>
          </w:p>
        </w:tc>
        <w:tc>
          <w:tcPr>
            <w:tcW w:w="826"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Results 2023 </w:t>
            </w:r>
          </w:p>
        </w:tc>
        <w:tc>
          <w:tcPr>
            <w:tcW w:w="695"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Results/Plan (%)</w:t>
            </w:r>
          </w:p>
        </w:tc>
      </w:tr>
      <w:tr w:rsidR="004F492E" w:rsidRPr="00737D97" w:rsidTr="00737D97">
        <w:tc>
          <w:tcPr>
            <w:tcW w:w="393"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1423"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Output value</w:t>
            </w:r>
          </w:p>
        </w:tc>
        <w:tc>
          <w:tcPr>
            <w:tcW w:w="920"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Billion VND</w:t>
            </w:r>
          </w:p>
        </w:tc>
        <w:tc>
          <w:tcPr>
            <w:tcW w:w="743"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819.76</w:t>
            </w:r>
          </w:p>
        </w:tc>
        <w:tc>
          <w:tcPr>
            <w:tcW w:w="826"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587.764</w:t>
            </w:r>
          </w:p>
        </w:tc>
        <w:tc>
          <w:tcPr>
            <w:tcW w:w="695"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71.70%</w:t>
            </w:r>
          </w:p>
        </w:tc>
      </w:tr>
      <w:tr w:rsidR="004F492E" w:rsidRPr="00737D97" w:rsidTr="00737D97">
        <w:tc>
          <w:tcPr>
            <w:tcW w:w="393"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2</w:t>
            </w:r>
          </w:p>
        </w:tc>
        <w:tc>
          <w:tcPr>
            <w:tcW w:w="1423"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Revenue value</w:t>
            </w:r>
          </w:p>
        </w:tc>
        <w:tc>
          <w:tcPr>
            <w:tcW w:w="920"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Billion VND</w:t>
            </w:r>
          </w:p>
        </w:tc>
        <w:tc>
          <w:tcPr>
            <w:tcW w:w="743"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811.48</w:t>
            </w:r>
          </w:p>
        </w:tc>
        <w:tc>
          <w:tcPr>
            <w:tcW w:w="826"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600.449</w:t>
            </w:r>
          </w:p>
        </w:tc>
        <w:tc>
          <w:tcPr>
            <w:tcW w:w="695"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74.00%</w:t>
            </w:r>
          </w:p>
        </w:tc>
      </w:tr>
      <w:tr w:rsidR="004F492E" w:rsidRPr="00737D97" w:rsidTr="00737D97">
        <w:tc>
          <w:tcPr>
            <w:tcW w:w="393"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3</w:t>
            </w:r>
          </w:p>
        </w:tc>
        <w:tc>
          <w:tcPr>
            <w:tcW w:w="1423"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Capital collection value</w:t>
            </w:r>
          </w:p>
        </w:tc>
        <w:tc>
          <w:tcPr>
            <w:tcW w:w="920"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Billion VND</w:t>
            </w:r>
          </w:p>
        </w:tc>
        <w:tc>
          <w:tcPr>
            <w:tcW w:w="743"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804.79</w:t>
            </w:r>
          </w:p>
        </w:tc>
        <w:tc>
          <w:tcPr>
            <w:tcW w:w="826"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652.213</w:t>
            </w:r>
          </w:p>
        </w:tc>
        <w:tc>
          <w:tcPr>
            <w:tcW w:w="695"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81.04%</w:t>
            </w:r>
          </w:p>
        </w:tc>
      </w:tr>
      <w:tr w:rsidR="004F492E" w:rsidRPr="00737D97" w:rsidTr="00737D97">
        <w:tc>
          <w:tcPr>
            <w:tcW w:w="393"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4</w:t>
            </w:r>
          </w:p>
        </w:tc>
        <w:tc>
          <w:tcPr>
            <w:tcW w:w="1423"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920"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Billion VND</w:t>
            </w:r>
          </w:p>
        </w:tc>
        <w:tc>
          <w:tcPr>
            <w:tcW w:w="743"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12.81</w:t>
            </w:r>
          </w:p>
        </w:tc>
        <w:tc>
          <w:tcPr>
            <w:tcW w:w="826"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11.159</w:t>
            </w:r>
          </w:p>
        </w:tc>
        <w:tc>
          <w:tcPr>
            <w:tcW w:w="695"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87.11%</w:t>
            </w:r>
          </w:p>
        </w:tc>
      </w:tr>
      <w:tr w:rsidR="004F492E" w:rsidRPr="00737D97" w:rsidTr="00737D97">
        <w:tc>
          <w:tcPr>
            <w:tcW w:w="393"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5</w:t>
            </w:r>
          </w:p>
        </w:tc>
        <w:tc>
          <w:tcPr>
            <w:tcW w:w="1423"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Payable to state budget</w:t>
            </w:r>
          </w:p>
        </w:tc>
        <w:tc>
          <w:tcPr>
            <w:tcW w:w="920"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Billion VND</w:t>
            </w:r>
          </w:p>
        </w:tc>
        <w:tc>
          <w:tcPr>
            <w:tcW w:w="743"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15.58</w:t>
            </w:r>
          </w:p>
        </w:tc>
        <w:tc>
          <w:tcPr>
            <w:tcW w:w="826"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14.66</w:t>
            </w:r>
          </w:p>
        </w:tc>
        <w:tc>
          <w:tcPr>
            <w:tcW w:w="695"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94.0%</w:t>
            </w:r>
          </w:p>
        </w:tc>
      </w:tr>
      <w:tr w:rsidR="004F492E" w:rsidRPr="00737D97" w:rsidTr="00737D97">
        <w:tc>
          <w:tcPr>
            <w:tcW w:w="393"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6</w:t>
            </w:r>
          </w:p>
        </w:tc>
        <w:tc>
          <w:tcPr>
            <w:tcW w:w="1423"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Average salary</w:t>
            </w:r>
          </w:p>
        </w:tc>
        <w:tc>
          <w:tcPr>
            <w:tcW w:w="920"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Million VND/person/month</w:t>
            </w:r>
          </w:p>
        </w:tc>
        <w:tc>
          <w:tcPr>
            <w:tcW w:w="743"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10</w:t>
            </w:r>
          </w:p>
        </w:tc>
        <w:tc>
          <w:tcPr>
            <w:tcW w:w="826"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10</w:t>
            </w:r>
          </w:p>
        </w:tc>
        <w:tc>
          <w:tcPr>
            <w:tcW w:w="695"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100%</w:t>
            </w:r>
          </w:p>
        </w:tc>
      </w:tr>
      <w:tr w:rsidR="004F492E" w:rsidRPr="00737D97" w:rsidTr="00737D97">
        <w:tc>
          <w:tcPr>
            <w:tcW w:w="393"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7</w:t>
            </w:r>
          </w:p>
        </w:tc>
        <w:tc>
          <w:tcPr>
            <w:tcW w:w="1423"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Expected dividends</w:t>
            </w:r>
          </w:p>
        </w:tc>
        <w:tc>
          <w:tcPr>
            <w:tcW w:w="920"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w:t>
            </w:r>
          </w:p>
        </w:tc>
        <w:tc>
          <w:tcPr>
            <w:tcW w:w="743"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10</w:t>
            </w:r>
          </w:p>
        </w:tc>
        <w:tc>
          <w:tcPr>
            <w:tcW w:w="826"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10</w:t>
            </w:r>
          </w:p>
        </w:tc>
        <w:tc>
          <w:tcPr>
            <w:tcW w:w="695"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100%</w:t>
            </w:r>
          </w:p>
        </w:tc>
      </w:tr>
    </w:tbl>
    <w:p w:rsidR="004F492E" w:rsidRPr="00737D97" w:rsidRDefault="00737D97" w:rsidP="00737D97">
      <w:pPr>
        <w:numPr>
          <w:ilvl w:val="0"/>
          <w:numId w:val="8"/>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Production and business plan for 2024 of the Company</w:t>
      </w:r>
    </w:p>
    <w:p w:rsidR="004F492E" w:rsidRPr="00737D97" w:rsidRDefault="00737D97" w:rsidP="00737D97">
      <w:pPr>
        <w:numPr>
          <w:ilvl w:val="0"/>
          <w:numId w:val="8"/>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Value of production and business activities VND 814.18 billion;</w:t>
      </w:r>
    </w:p>
    <w:p w:rsidR="004F492E" w:rsidRPr="00737D97" w:rsidRDefault="00737D97" w:rsidP="00737D97">
      <w:pPr>
        <w:numPr>
          <w:ilvl w:val="0"/>
          <w:numId w:val="8"/>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Revenue (excluding VAT): VND 743.61 billion;</w:t>
      </w:r>
    </w:p>
    <w:p w:rsidR="004F492E" w:rsidRPr="00737D97" w:rsidRDefault="00737D97" w:rsidP="00737D97">
      <w:pPr>
        <w:numPr>
          <w:ilvl w:val="0"/>
          <w:numId w:val="8"/>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Capital recovery: VND 823.28 billion;</w:t>
      </w:r>
    </w:p>
    <w:p w:rsidR="004F492E" w:rsidRPr="00737D97" w:rsidRDefault="00737D97" w:rsidP="00737D97">
      <w:pPr>
        <w:numPr>
          <w:ilvl w:val="0"/>
          <w:numId w:val="8"/>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Profit before tax: VND 12.26 billion</w:t>
      </w:r>
    </w:p>
    <w:p w:rsidR="004F492E" w:rsidRPr="00737D97" w:rsidRDefault="00737D97" w:rsidP="00737D97">
      <w:pPr>
        <w:numPr>
          <w:ilvl w:val="0"/>
          <w:numId w:val="8"/>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Total budget contribution:  VND 13.59 billion;</w:t>
      </w:r>
    </w:p>
    <w:p w:rsidR="004F492E" w:rsidRPr="00737D97" w:rsidRDefault="00737D97" w:rsidP="00737D97">
      <w:pPr>
        <w:numPr>
          <w:ilvl w:val="0"/>
          <w:numId w:val="8"/>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Expected dividend: 10%</w:t>
      </w:r>
    </w:p>
    <w:p w:rsidR="004F492E" w:rsidRPr="00737D97" w:rsidRDefault="00737D97" w:rsidP="00737D97">
      <w:pPr>
        <w:numPr>
          <w:ilvl w:val="0"/>
          <w:numId w:val="8"/>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Average salary VND 10 million/person/month,</w:t>
      </w:r>
    </w:p>
    <w:p w:rsidR="004F492E" w:rsidRPr="00737D97" w:rsidRDefault="00737D97" w:rsidP="00C92DE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The </w:t>
      </w:r>
      <w:r w:rsidR="00C92DE7">
        <w:rPr>
          <w:rFonts w:ascii="Arial" w:hAnsi="Arial"/>
          <w:color w:val="010000"/>
          <w:sz w:val="20"/>
        </w:rPr>
        <w:t>General Meeting</w:t>
      </w:r>
      <w:r>
        <w:rPr>
          <w:rFonts w:ascii="Arial" w:hAnsi="Arial"/>
          <w:color w:val="010000"/>
          <w:sz w:val="20"/>
        </w:rPr>
        <w:t xml:space="preserve"> approves the addition to Section II. Production and business plan for 2024 in the Report on production and business results in 2023, production and business plan for 2024 of the Company as follows:</w:t>
      </w:r>
    </w:p>
    <w:p w:rsidR="004F492E" w:rsidRPr="00737D97" w:rsidRDefault="00737D97" w:rsidP="00C92DE7">
      <w:pPr>
        <w:numPr>
          <w:ilvl w:val="0"/>
          <w:numId w:val="8"/>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Financial plan for 2024:</w:t>
      </w:r>
    </w:p>
    <w:p w:rsidR="004F492E" w:rsidRPr="00737D97" w:rsidRDefault="00737D97" w:rsidP="00C92DE7">
      <w:pPr>
        <w:numPr>
          <w:ilvl w:val="0"/>
          <w:numId w:val="8"/>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Total capital requirement to implement the plan 2024:  VND 758.138 billion;</w:t>
      </w:r>
    </w:p>
    <w:p w:rsidR="004F492E" w:rsidRPr="00737D97" w:rsidRDefault="00737D97" w:rsidP="00C92DE7">
      <w:pPr>
        <w:numPr>
          <w:ilvl w:val="0"/>
          <w:numId w:val="4"/>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lastRenderedPageBreak/>
        <w:t>Equity and appropriated capital: VND 265.270 billion;</w:t>
      </w:r>
    </w:p>
    <w:p w:rsidR="004F492E" w:rsidRPr="00737D97" w:rsidRDefault="00737D97" w:rsidP="00C92DE7">
      <w:pPr>
        <w:numPr>
          <w:ilvl w:val="0"/>
          <w:numId w:val="4"/>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Advance capital from Party A and payment for volume: VND 347.868 billion;</w:t>
      </w:r>
    </w:p>
    <w:p w:rsidR="004F492E" w:rsidRPr="00737D97" w:rsidRDefault="00737D97" w:rsidP="00C92DE7">
      <w:pPr>
        <w:numPr>
          <w:ilvl w:val="0"/>
          <w:numId w:val="4"/>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Bank loan capital: VND 145.0 billion;</w:t>
      </w:r>
    </w:p>
    <w:p w:rsidR="004F492E" w:rsidRPr="00737D97" w:rsidRDefault="00737D97" w:rsidP="00C92DE7">
      <w:pPr>
        <w:numPr>
          <w:ilvl w:val="0"/>
          <w:numId w:val="8"/>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Machinery, equipment investment and tool supply plan for 2024:  VND 10 billion;</w:t>
      </w:r>
    </w:p>
    <w:p w:rsidR="004F492E" w:rsidRPr="00737D97" w:rsidRDefault="00737D97" w:rsidP="00C92DE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The </w:t>
      </w:r>
      <w:r w:rsidR="00C92DE7">
        <w:rPr>
          <w:rFonts w:ascii="Arial" w:hAnsi="Arial"/>
          <w:color w:val="010000"/>
          <w:sz w:val="20"/>
        </w:rPr>
        <w:t>General Meeting</w:t>
      </w:r>
      <w:r>
        <w:rPr>
          <w:rFonts w:ascii="Arial" w:hAnsi="Arial"/>
          <w:color w:val="010000"/>
          <w:sz w:val="20"/>
        </w:rPr>
        <w:t xml:space="preserve"> approves the authorization to the Board of Directors to consider and approve adjustments to the Production and Business Plan for 2024 and the Financial Plan for 2024 in accordance with the actual implementation at the Company.</w:t>
      </w:r>
    </w:p>
    <w:p w:rsidR="004F492E" w:rsidRPr="00737D97" w:rsidRDefault="00737D97" w:rsidP="00C92DE7">
      <w:pPr>
        <w:numPr>
          <w:ilvl w:val="0"/>
          <w:numId w:val="10"/>
        </w:numPr>
        <w:pBdr>
          <w:top w:val="nil"/>
          <w:left w:val="nil"/>
          <w:bottom w:val="nil"/>
          <w:right w:val="nil"/>
          <w:between w:val="nil"/>
        </w:pBdr>
        <w:tabs>
          <w:tab w:val="left" w:pos="426"/>
          <w:tab w:val="left" w:pos="572"/>
        </w:tabs>
        <w:spacing w:after="120" w:line="360" w:lineRule="auto"/>
        <w:jc w:val="both"/>
        <w:rPr>
          <w:rFonts w:ascii="Arial" w:eastAsia="Arial" w:hAnsi="Arial" w:cs="Arial"/>
          <w:color w:val="010000"/>
          <w:sz w:val="20"/>
          <w:szCs w:val="20"/>
        </w:rPr>
      </w:pPr>
      <w:r>
        <w:rPr>
          <w:rFonts w:ascii="Arial" w:hAnsi="Arial"/>
          <w:color w:val="010000"/>
          <w:sz w:val="20"/>
        </w:rPr>
        <w:t xml:space="preserve">General Mandate 2: The </w:t>
      </w:r>
      <w:r w:rsidR="00C92DE7">
        <w:rPr>
          <w:rFonts w:ascii="Arial" w:hAnsi="Arial"/>
          <w:color w:val="010000"/>
          <w:sz w:val="20"/>
        </w:rPr>
        <w:t>General Meeting</w:t>
      </w:r>
      <w:r>
        <w:rPr>
          <w:rFonts w:ascii="Arial" w:hAnsi="Arial"/>
          <w:color w:val="010000"/>
          <w:sz w:val="20"/>
        </w:rPr>
        <w:t xml:space="preserve"> approves the Proposal on approving the audited Financial Statements for 2023 of the Company.</w:t>
      </w:r>
    </w:p>
    <w:p w:rsidR="004F492E" w:rsidRPr="00737D97" w:rsidRDefault="00737D97" w:rsidP="00C92DE7">
      <w:pPr>
        <w:numPr>
          <w:ilvl w:val="0"/>
          <w:numId w:val="10"/>
        </w:numPr>
        <w:pBdr>
          <w:top w:val="nil"/>
          <w:left w:val="nil"/>
          <w:bottom w:val="nil"/>
          <w:right w:val="nil"/>
          <w:between w:val="nil"/>
        </w:pBdr>
        <w:tabs>
          <w:tab w:val="left" w:pos="426"/>
          <w:tab w:val="left" w:pos="572"/>
        </w:tabs>
        <w:spacing w:after="120" w:line="360" w:lineRule="auto"/>
        <w:jc w:val="both"/>
        <w:rPr>
          <w:rFonts w:ascii="Arial" w:eastAsia="Arial" w:hAnsi="Arial" w:cs="Arial"/>
          <w:color w:val="010000"/>
          <w:sz w:val="20"/>
          <w:szCs w:val="20"/>
        </w:rPr>
      </w:pPr>
      <w:r>
        <w:rPr>
          <w:rFonts w:ascii="Arial" w:hAnsi="Arial"/>
          <w:color w:val="010000"/>
          <w:sz w:val="20"/>
        </w:rPr>
        <w:t xml:space="preserve">General Mandate 3: The </w:t>
      </w:r>
      <w:r w:rsidR="00C92DE7">
        <w:rPr>
          <w:rFonts w:ascii="Arial" w:hAnsi="Arial"/>
          <w:color w:val="010000"/>
          <w:sz w:val="20"/>
        </w:rPr>
        <w:t>General Meeting</w:t>
      </w:r>
      <w:r>
        <w:rPr>
          <w:rFonts w:ascii="Arial" w:hAnsi="Arial"/>
          <w:color w:val="010000"/>
          <w:sz w:val="20"/>
        </w:rPr>
        <w:t xml:space="preserve"> approves the Report of the Board of Directors on the results of operations in 2023 and the plan of operations in 2024.</w:t>
      </w:r>
    </w:p>
    <w:p w:rsidR="004F492E" w:rsidRPr="00737D97" w:rsidRDefault="00737D97" w:rsidP="00C92DE7">
      <w:pPr>
        <w:numPr>
          <w:ilvl w:val="0"/>
          <w:numId w:val="10"/>
        </w:numPr>
        <w:pBdr>
          <w:top w:val="nil"/>
          <w:left w:val="nil"/>
          <w:bottom w:val="nil"/>
          <w:right w:val="nil"/>
          <w:between w:val="nil"/>
        </w:pBdr>
        <w:tabs>
          <w:tab w:val="left" w:pos="426"/>
          <w:tab w:val="left" w:pos="572"/>
        </w:tabs>
        <w:spacing w:after="120" w:line="360" w:lineRule="auto"/>
        <w:jc w:val="both"/>
        <w:rPr>
          <w:rFonts w:ascii="Arial" w:eastAsia="Arial" w:hAnsi="Arial" w:cs="Arial"/>
          <w:color w:val="010000"/>
          <w:sz w:val="20"/>
          <w:szCs w:val="20"/>
        </w:rPr>
      </w:pPr>
      <w:r>
        <w:rPr>
          <w:rFonts w:ascii="Arial" w:hAnsi="Arial"/>
          <w:color w:val="010000"/>
          <w:sz w:val="20"/>
        </w:rPr>
        <w:t xml:space="preserve">General Mandate 4: The </w:t>
      </w:r>
      <w:r w:rsidR="00C92DE7">
        <w:rPr>
          <w:rFonts w:ascii="Arial" w:hAnsi="Arial"/>
          <w:color w:val="010000"/>
          <w:sz w:val="20"/>
        </w:rPr>
        <w:t>General Meeting</w:t>
      </w:r>
      <w:r>
        <w:rPr>
          <w:rFonts w:ascii="Arial" w:hAnsi="Arial"/>
          <w:color w:val="010000"/>
          <w:sz w:val="20"/>
        </w:rPr>
        <w:t xml:space="preserve"> approves the Operation Report of the Supervisory Board in 2023.</w:t>
      </w:r>
    </w:p>
    <w:p w:rsidR="004F492E" w:rsidRPr="00737D97" w:rsidRDefault="00737D97" w:rsidP="00C92DE7">
      <w:pPr>
        <w:numPr>
          <w:ilvl w:val="0"/>
          <w:numId w:val="10"/>
        </w:numPr>
        <w:pBdr>
          <w:top w:val="nil"/>
          <w:left w:val="nil"/>
          <w:bottom w:val="nil"/>
          <w:right w:val="nil"/>
          <w:between w:val="nil"/>
        </w:pBdr>
        <w:tabs>
          <w:tab w:val="left" w:pos="426"/>
          <w:tab w:val="left" w:pos="572"/>
        </w:tabs>
        <w:spacing w:after="120" w:line="360" w:lineRule="auto"/>
        <w:jc w:val="both"/>
        <w:rPr>
          <w:rFonts w:ascii="Arial" w:eastAsia="Arial" w:hAnsi="Arial" w:cs="Arial"/>
          <w:color w:val="010000"/>
          <w:sz w:val="20"/>
          <w:szCs w:val="20"/>
        </w:rPr>
      </w:pPr>
      <w:r>
        <w:rPr>
          <w:rFonts w:ascii="Arial" w:hAnsi="Arial"/>
          <w:color w:val="010000"/>
          <w:sz w:val="20"/>
        </w:rPr>
        <w:t xml:space="preserve">General Mandate 5: The </w:t>
      </w:r>
      <w:r w:rsidR="00C92DE7">
        <w:rPr>
          <w:rFonts w:ascii="Arial" w:hAnsi="Arial"/>
          <w:color w:val="010000"/>
          <w:sz w:val="20"/>
        </w:rPr>
        <w:t>General Meeting</w:t>
      </w:r>
      <w:r>
        <w:rPr>
          <w:rFonts w:ascii="Arial" w:hAnsi="Arial"/>
          <w:color w:val="010000"/>
          <w:sz w:val="20"/>
        </w:rPr>
        <w:t xml:space="preserve"> approves the remuneration settlement for members of the Board of Directors and Supervisory Board of the Company in 2023 and the plan for the total remuneration for members of the Board of Directors and Supervisory Board in 2024 of the Company, specifically as follows:</w:t>
      </w:r>
    </w:p>
    <w:p w:rsidR="004F492E" w:rsidRPr="00737D97" w:rsidRDefault="00737D97" w:rsidP="00C92DE7">
      <w:pPr>
        <w:numPr>
          <w:ilvl w:val="0"/>
          <w:numId w:val="1"/>
        </w:numPr>
        <w:pBdr>
          <w:top w:val="nil"/>
          <w:left w:val="nil"/>
          <w:bottom w:val="nil"/>
          <w:right w:val="nil"/>
          <w:between w:val="nil"/>
        </w:pBdr>
        <w:tabs>
          <w:tab w:val="left" w:pos="426"/>
          <w:tab w:val="left" w:pos="1088"/>
        </w:tabs>
        <w:spacing w:after="120" w:line="360" w:lineRule="auto"/>
        <w:jc w:val="both"/>
        <w:rPr>
          <w:rFonts w:ascii="Arial" w:eastAsia="Arial" w:hAnsi="Arial" w:cs="Arial"/>
          <w:color w:val="010000"/>
          <w:sz w:val="20"/>
          <w:szCs w:val="20"/>
        </w:rPr>
      </w:pPr>
      <w:r>
        <w:rPr>
          <w:rFonts w:ascii="Arial" w:hAnsi="Arial"/>
          <w:color w:val="010000"/>
          <w:sz w:val="20"/>
        </w:rPr>
        <w:t>The settlement of remuneration payment to members of the Board of Directors and Supervisory Board of the Company in 2023 is VND 378,000,000, specifically:</w:t>
      </w:r>
    </w:p>
    <w:p w:rsidR="004F492E" w:rsidRPr="00737D97" w:rsidRDefault="00737D97" w:rsidP="00C92DE7">
      <w:pPr>
        <w:numPr>
          <w:ilvl w:val="0"/>
          <w:numId w:val="9"/>
        </w:numPr>
        <w:pBdr>
          <w:top w:val="nil"/>
          <w:left w:val="nil"/>
          <w:bottom w:val="nil"/>
          <w:right w:val="nil"/>
          <w:between w:val="nil"/>
        </w:pBdr>
        <w:tabs>
          <w:tab w:val="left" w:pos="426"/>
          <w:tab w:val="left" w:pos="1088"/>
        </w:tabs>
        <w:spacing w:after="120" w:line="360" w:lineRule="auto"/>
        <w:jc w:val="both"/>
        <w:rPr>
          <w:rFonts w:ascii="Arial" w:eastAsia="Arial" w:hAnsi="Arial" w:cs="Arial"/>
          <w:color w:val="010000"/>
          <w:sz w:val="20"/>
          <w:szCs w:val="20"/>
        </w:rPr>
      </w:pPr>
      <w:r>
        <w:rPr>
          <w:rFonts w:ascii="Arial" w:hAnsi="Arial"/>
          <w:color w:val="010000"/>
          <w:sz w:val="20"/>
        </w:rPr>
        <w:t>Total remuneration payment for the Board of Directors in 2023: VND 252,000,000/year</w:t>
      </w:r>
    </w:p>
    <w:p w:rsidR="004F492E" w:rsidRPr="00737D97" w:rsidRDefault="00737D97" w:rsidP="00C92DE7">
      <w:pPr>
        <w:numPr>
          <w:ilvl w:val="0"/>
          <w:numId w:val="9"/>
        </w:numPr>
        <w:pBdr>
          <w:top w:val="nil"/>
          <w:left w:val="nil"/>
          <w:bottom w:val="nil"/>
          <w:right w:val="nil"/>
          <w:between w:val="nil"/>
        </w:pBdr>
        <w:tabs>
          <w:tab w:val="left" w:pos="426"/>
          <w:tab w:val="left" w:pos="1088"/>
        </w:tabs>
        <w:spacing w:after="120" w:line="360" w:lineRule="auto"/>
        <w:jc w:val="both"/>
        <w:rPr>
          <w:rFonts w:ascii="Arial" w:eastAsia="Arial" w:hAnsi="Arial" w:cs="Arial"/>
          <w:color w:val="010000"/>
          <w:sz w:val="20"/>
          <w:szCs w:val="20"/>
        </w:rPr>
      </w:pPr>
      <w:r>
        <w:rPr>
          <w:rFonts w:ascii="Arial" w:hAnsi="Arial"/>
          <w:color w:val="010000"/>
          <w:sz w:val="20"/>
        </w:rPr>
        <w:t>Total remuneration payment for the Supervisory Board in 2023:  VND 126,000,000/year</w:t>
      </w:r>
    </w:p>
    <w:p w:rsidR="004F492E" w:rsidRPr="00737D97" w:rsidRDefault="00737D97" w:rsidP="00C92DE7">
      <w:pPr>
        <w:numPr>
          <w:ilvl w:val="0"/>
          <w:numId w:val="1"/>
        </w:numPr>
        <w:pBdr>
          <w:top w:val="nil"/>
          <w:left w:val="nil"/>
          <w:bottom w:val="nil"/>
          <w:right w:val="nil"/>
          <w:between w:val="nil"/>
        </w:pBdr>
        <w:tabs>
          <w:tab w:val="left" w:pos="426"/>
          <w:tab w:val="left" w:pos="1088"/>
          <w:tab w:val="right" w:pos="9414"/>
        </w:tabs>
        <w:spacing w:after="120" w:line="360" w:lineRule="auto"/>
        <w:jc w:val="both"/>
        <w:rPr>
          <w:rFonts w:ascii="Arial" w:eastAsia="Arial" w:hAnsi="Arial" w:cs="Arial"/>
          <w:color w:val="010000"/>
          <w:sz w:val="20"/>
          <w:szCs w:val="20"/>
        </w:rPr>
      </w:pPr>
      <w:r>
        <w:rPr>
          <w:rFonts w:ascii="Arial" w:hAnsi="Arial"/>
          <w:color w:val="010000"/>
          <w:sz w:val="20"/>
        </w:rPr>
        <w:t>The plan for the total remuneration for members of the Board of Directors and Supervisory Board of the Company in 2024 is a total of VND 474,000,000, specifically as follows:</w:t>
      </w:r>
    </w:p>
    <w:p w:rsidR="004F492E" w:rsidRPr="00737D97" w:rsidRDefault="00737D97" w:rsidP="00C92DE7">
      <w:pPr>
        <w:numPr>
          <w:ilvl w:val="0"/>
          <w:numId w:val="9"/>
        </w:numPr>
        <w:pBdr>
          <w:top w:val="nil"/>
          <w:left w:val="nil"/>
          <w:bottom w:val="nil"/>
          <w:right w:val="nil"/>
          <w:between w:val="nil"/>
        </w:pBdr>
        <w:tabs>
          <w:tab w:val="left" w:pos="426"/>
          <w:tab w:val="left" w:pos="1088"/>
        </w:tabs>
        <w:spacing w:after="120" w:line="360" w:lineRule="auto"/>
        <w:jc w:val="both"/>
        <w:rPr>
          <w:rFonts w:ascii="Arial" w:eastAsia="Arial" w:hAnsi="Arial" w:cs="Arial"/>
          <w:color w:val="010000"/>
          <w:sz w:val="20"/>
          <w:szCs w:val="20"/>
        </w:rPr>
      </w:pPr>
      <w:r>
        <w:rPr>
          <w:rFonts w:ascii="Arial" w:hAnsi="Arial"/>
          <w:color w:val="010000"/>
          <w:sz w:val="20"/>
        </w:rPr>
        <w:t>The Board of Directors</w:t>
      </w:r>
    </w:p>
    <w:p w:rsidR="004F492E" w:rsidRPr="00737D97" w:rsidRDefault="00737D97" w:rsidP="00C92DE7">
      <w:pPr>
        <w:numPr>
          <w:ilvl w:val="0"/>
          <w:numId w:val="6"/>
        </w:numPr>
        <w:pBdr>
          <w:top w:val="nil"/>
          <w:left w:val="nil"/>
          <w:bottom w:val="nil"/>
          <w:right w:val="nil"/>
          <w:between w:val="nil"/>
        </w:pBdr>
        <w:tabs>
          <w:tab w:val="left" w:pos="426"/>
          <w:tab w:val="left" w:pos="3565"/>
        </w:tabs>
        <w:spacing w:after="120" w:line="360" w:lineRule="auto"/>
        <w:ind w:left="0" w:firstLine="0"/>
        <w:jc w:val="both"/>
        <w:rPr>
          <w:rFonts w:ascii="Arial" w:eastAsia="Arial" w:hAnsi="Arial" w:cs="Arial"/>
          <w:color w:val="010000"/>
          <w:sz w:val="20"/>
          <w:szCs w:val="20"/>
        </w:rPr>
      </w:pPr>
      <w:r>
        <w:rPr>
          <w:rFonts w:ascii="Arial" w:hAnsi="Arial"/>
          <w:color w:val="010000"/>
          <w:sz w:val="20"/>
        </w:rPr>
        <w:t>Chair of the Board of Directors: VND 8,000,000 per month.</w:t>
      </w:r>
    </w:p>
    <w:p w:rsidR="004F492E" w:rsidRPr="00737D97" w:rsidRDefault="00737D97" w:rsidP="00C92DE7">
      <w:pPr>
        <w:numPr>
          <w:ilvl w:val="0"/>
          <w:numId w:val="6"/>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Vice Chair of the Board of Directors: VND 6,000,000/person/month</w:t>
      </w:r>
    </w:p>
    <w:p w:rsidR="004F492E" w:rsidRPr="00737D97" w:rsidRDefault="00737D97" w:rsidP="00C92DE7">
      <w:pPr>
        <w:numPr>
          <w:ilvl w:val="0"/>
          <w:numId w:val="6"/>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Members of the Board of Directors: VND 4,500,000/person/month;</w:t>
      </w:r>
    </w:p>
    <w:p w:rsidR="004F492E" w:rsidRPr="00737D97" w:rsidRDefault="00737D97" w:rsidP="00C92DE7">
      <w:pPr>
        <w:numPr>
          <w:ilvl w:val="0"/>
          <w:numId w:val="9"/>
        </w:numPr>
        <w:pBdr>
          <w:top w:val="nil"/>
          <w:left w:val="nil"/>
          <w:bottom w:val="nil"/>
          <w:right w:val="nil"/>
          <w:between w:val="nil"/>
        </w:pBdr>
        <w:tabs>
          <w:tab w:val="left" w:pos="426"/>
          <w:tab w:val="left" w:pos="1088"/>
        </w:tabs>
        <w:spacing w:after="120" w:line="360" w:lineRule="auto"/>
        <w:jc w:val="both"/>
        <w:rPr>
          <w:rFonts w:ascii="Arial" w:eastAsia="Arial" w:hAnsi="Arial" w:cs="Arial"/>
          <w:color w:val="010000"/>
          <w:sz w:val="20"/>
          <w:szCs w:val="20"/>
        </w:rPr>
      </w:pPr>
      <w:r>
        <w:rPr>
          <w:rFonts w:ascii="Arial" w:hAnsi="Arial"/>
          <w:color w:val="010000"/>
          <w:sz w:val="20"/>
        </w:rPr>
        <w:t>Supervisory Board</w:t>
      </w:r>
    </w:p>
    <w:p w:rsidR="004F492E" w:rsidRPr="00737D97" w:rsidRDefault="00737D97" w:rsidP="00C92DE7">
      <w:pPr>
        <w:numPr>
          <w:ilvl w:val="0"/>
          <w:numId w:val="7"/>
        </w:numPr>
        <w:pBdr>
          <w:top w:val="nil"/>
          <w:left w:val="nil"/>
          <w:bottom w:val="nil"/>
          <w:right w:val="nil"/>
          <w:between w:val="nil"/>
        </w:pBdr>
        <w:tabs>
          <w:tab w:val="left" w:pos="426"/>
          <w:tab w:val="left" w:pos="3565"/>
        </w:tabs>
        <w:spacing w:after="120" w:line="360" w:lineRule="auto"/>
        <w:ind w:left="0" w:firstLine="0"/>
        <w:jc w:val="both"/>
        <w:rPr>
          <w:rFonts w:ascii="Arial" w:eastAsia="Arial" w:hAnsi="Arial" w:cs="Arial"/>
          <w:color w:val="010000"/>
          <w:sz w:val="20"/>
          <w:szCs w:val="20"/>
        </w:rPr>
      </w:pPr>
      <w:r>
        <w:rPr>
          <w:rFonts w:ascii="Arial" w:hAnsi="Arial"/>
          <w:color w:val="010000"/>
          <w:sz w:val="20"/>
        </w:rPr>
        <w:t>Chief of the Supervisory Board: VND 4,500,000 per month.</w:t>
      </w:r>
    </w:p>
    <w:p w:rsidR="004F492E" w:rsidRPr="00737D97" w:rsidRDefault="00737D97" w:rsidP="00C92DE7">
      <w:pPr>
        <w:numPr>
          <w:ilvl w:val="0"/>
          <w:numId w:val="7"/>
        </w:numPr>
        <w:pBdr>
          <w:top w:val="nil"/>
          <w:left w:val="nil"/>
          <w:bottom w:val="nil"/>
          <w:right w:val="nil"/>
          <w:between w:val="nil"/>
        </w:pBdr>
        <w:tabs>
          <w:tab w:val="left" w:pos="426"/>
          <w:tab w:val="left" w:pos="3565"/>
        </w:tabs>
        <w:spacing w:after="120" w:line="360" w:lineRule="auto"/>
        <w:ind w:left="0" w:firstLine="0"/>
        <w:jc w:val="both"/>
        <w:rPr>
          <w:rFonts w:ascii="Arial" w:eastAsia="Arial" w:hAnsi="Arial" w:cs="Arial"/>
          <w:color w:val="010000"/>
          <w:sz w:val="20"/>
          <w:szCs w:val="20"/>
        </w:rPr>
      </w:pPr>
      <w:r>
        <w:rPr>
          <w:rFonts w:ascii="Arial" w:hAnsi="Arial"/>
          <w:color w:val="010000"/>
          <w:sz w:val="20"/>
        </w:rPr>
        <w:t>Member of the Supervisory Board: VND 3,000,000/person/month;</w:t>
      </w:r>
    </w:p>
    <w:p w:rsidR="004F492E" w:rsidRPr="00737D97" w:rsidRDefault="00737D97" w:rsidP="00C92DE7">
      <w:pPr>
        <w:numPr>
          <w:ilvl w:val="0"/>
          <w:numId w:val="10"/>
        </w:numPr>
        <w:pBdr>
          <w:top w:val="nil"/>
          <w:left w:val="nil"/>
          <w:bottom w:val="nil"/>
          <w:right w:val="nil"/>
          <w:between w:val="nil"/>
        </w:pBdr>
        <w:tabs>
          <w:tab w:val="left" w:pos="426"/>
          <w:tab w:val="left" w:pos="559"/>
        </w:tabs>
        <w:spacing w:after="120" w:line="360" w:lineRule="auto"/>
        <w:jc w:val="both"/>
        <w:rPr>
          <w:rFonts w:ascii="Arial" w:eastAsia="Arial" w:hAnsi="Arial" w:cs="Arial"/>
          <w:color w:val="010000"/>
          <w:sz w:val="20"/>
          <w:szCs w:val="20"/>
        </w:rPr>
      </w:pPr>
      <w:r>
        <w:rPr>
          <w:rFonts w:ascii="Arial" w:hAnsi="Arial"/>
          <w:color w:val="010000"/>
          <w:sz w:val="20"/>
        </w:rPr>
        <w:t xml:space="preserve">General Mandate 6: The </w:t>
      </w:r>
      <w:r w:rsidR="00C92DE7">
        <w:rPr>
          <w:rFonts w:ascii="Arial" w:hAnsi="Arial"/>
          <w:color w:val="010000"/>
          <w:sz w:val="20"/>
        </w:rPr>
        <w:t>General Meeting</w:t>
      </w:r>
      <w:r>
        <w:rPr>
          <w:rFonts w:ascii="Arial" w:hAnsi="Arial"/>
          <w:color w:val="010000"/>
          <w:sz w:val="20"/>
        </w:rPr>
        <w:t xml:space="preserve"> approves the profit distribution plan for 2023 according to the Proposal of the Board of Directors of the Company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6"/>
        <w:gridCol w:w="6240"/>
        <w:gridCol w:w="2081"/>
      </w:tblGrid>
      <w:tr w:rsidR="004F492E" w:rsidRPr="00737D97" w:rsidTr="00737D97">
        <w:tc>
          <w:tcPr>
            <w:tcW w:w="386"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3460"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Content</w:t>
            </w:r>
          </w:p>
        </w:tc>
        <w:tc>
          <w:tcPr>
            <w:tcW w:w="1154"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Value (VND)</w:t>
            </w:r>
          </w:p>
        </w:tc>
      </w:tr>
      <w:tr w:rsidR="004F492E" w:rsidRPr="00737D97" w:rsidTr="00737D97">
        <w:tc>
          <w:tcPr>
            <w:tcW w:w="386"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3460"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Profit in 2023</w:t>
            </w:r>
          </w:p>
        </w:tc>
        <w:tc>
          <w:tcPr>
            <w:tcW w:w="1154"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11,159,961,894</w:t>
            </w:r>
          </w:p>
        </w:tc>
      </w:tr>
      <w:tr w:rsidR="004F492E" w:rsidRPr="00737D97" w:rsidTr="00737D97">
        <w:tc>
          <w:tcPr>
            <w:tcW w:w="386"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2</w:t>
            </w:r>
          </w:p>
        </w:tc>
        <w:tc>
          <w:tcPr>
            <w:tcW w:w="3460"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Corporate income tax</w:t>
            </w:r>
          </w:p>
        </w:tc>
        <w:tc>
          <w:tcPr>
            <w:tcW w:w="1154"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2,265,456,930</w:t>
            </w:r>
          </w:p>
        </w:tc>
      </w:tr>
      <w:tr w:rsidR="004F492E" w:rsidRPr="00737D97" w:rsidTr="00737D97">
        <w:tc>
          <w:tcPr>
            <w:tcW w:w="386"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3</w:t>
            </w:r>
          </w:p>
        </w:tc>
        <w:tc>
          <w:tcPr>
            <w:tcW w:w="3460"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Profit after tax in 2023</w:t>
            </w:r>
          </w:p>
        </w:tc>
        <w:tc>
          <w:tcPr>
            <w:tcW w:w="1154"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8,894,504,964</w:t>
            </w:r>
          </w:p>
        </w:tc>
      </w:tr>
      <w:tr w:rsidR="004F492E" w:rsidRPr="00737D97" w:rsidTr="00737D97">
        <w:tc>
          <w:tcPr>
            <w:tcW w:w="386"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4</w:t>
            </w:r>
          </w:p>
        </w:tc>
        <w:tc>
          <w:tcPr>
            <w:tcW w:w="3460"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Remaining profit from previous years carried forward</w:t>
            </w:r>
          </w:p>
        </w:tc>
        <w:tc>
          <w:tcPr>
            <w:tcW w:w="1154"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21,858,959,110</w:t>
            </w:r>
          </w:p>
        </w:tc>
      </w:tr>
      <w:tr w:rsidR="004F492E" w:rsidRPr="00737D97" w:rsidTr="00737D97">
        <w:tc>
          <w:tcPr>
            <w:tcW w:w="386"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5</w:t>
            </w:r>
          </w:p>
        </w:tc>
        <w:tc>
          <w:tcPr>
            <w:tcW w:w="3460"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Accumulated distributable profit</w:t>
            </w:r>
          </w:p>
        </w:tc>
        <w:tc>
          <w:tcPr>
            <w:tcW w:w="1154"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30,753,464,074</w:t>
            </w:r>
          </w:p>
        </w:tc>
      </w:tr>
      <w:tr w:rsidR="004F492E" w:rsidRPr="00737D97" w:rsidTr="00737D97">
        <w:tc>
          <w:tcPr>
            <w:tcW w:w="386" w:type="pct"/>
            <w:shd w:val="clear" w:color="auto" w:fill="auto"/>
            <w:tcMar>
              <w:top w:w="0" w:type="dxa"/>
              <w:bottom w:w="0" w:type="dxa"/>
            </w:tcMar>
            <w:vAlign w:val="center"/>
          </w:tcPr>
          <w:p w:rsidR="004F492E" w:rsidRPr="00737D97" w:rsidRDefault="004F492E" w:rsidP="00737D97">
            <w:pPr>
              <w:tabs>
                <w:tab w:val="left" w:pos="426"/>
              </w:tabs>
              <w:spacing w:after="120" w:line="360" w:lineRule="auto"/>
              <w:rPr>
                <w:rFonts w:ascii="Arial" w:eastAsia="Arial" w:hAnsi="Arial" w:cs="Arial"/>
                <w:color w:val="010000"/>
                <w:sz w:val="20"/>
                <w:szCs w:val="20"/>
              </w:rPr>
            </w:pPr>
          </w:p>
        </w:tc>
        <w:tc>
          <w:tcPr>
            <w:tcW w:w="3460"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The profit distribution plan:</w:t>
            </w:r>
          </w:p>
        </w:tc>
        <w:tc>
          <w:tcPr>
            <w:tcW w:w="1154" w:type="pct"/>
            <w:shd w:val="clear" w:color="auto" w:fill="auto"/>
            <w:tcMar>
              <w:top w:w="0" w:type="dxa"/>
              <w:bottom w:w="0" w:type="dxa"/>
            </w:tcMar>
            <w:vAlign w:val="center"/>
          </w:tcPr>
          <w:p w:rsidR="004F492E" w:rsidRPr="00737D97" w:rsidRDefault="004F492E" w:rsidP="00737D97">
            <w:pPr>
              <w:tabs>
                <w:tab w:val="left" w:pos="426"/>
              </w:tabs>
              <w:spacing w:after="120" w:line="360" w:lineRule="auto"/>
              <w:rPr>
                <w:rFonts w:ascii="Arial" w:eastAsia="Arial" w:hAnsi="Arial" w:cs="Arial"/>
                <w:color w:val="010000"/>
                <w:sz w:val="20"/>
                <w:szCs w:val="20"/>
              </w:rPr>
            </w:pPr>
          </w:p>
        </w:tc>
      </w:tr>
      <w:tr w:rsidR="004F492E" w:rsidRPr="00737D97" w:rsidTr="00737D97">
        <w:tc>
          <w:tcPr>
            <w:tcW w:w="386"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5.1</w:t>
            </w:r>
          </w:p>
        </w:tc>
        <w:tc>
          <w:tcPr>
            <w:tcW w:w="3460"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Deduction for development investment fund 10%/Profit 2023</w:t>
            </w:r>
          </w:p>
        </w:tc>
        <w:tc>
          <w:tcPr>
            <w:tcW w:w="1154"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889,450,496</w:t>
            </w:r>
          </w:p>
        </w:tc>
      </w:tr>
      <w:tr w:rsidR="004F492E" w:rsidRPr="00737D97" w:rsidTr="00737D97">
        <w:tc>
          <w:tcPr>
            <w:tcW w:w="386"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5.2</w:t>
            </w:r>
          </w:p>
        </w:tc>
        <w:tc>
          <w:tcPr>
            <w:tcW w:w="3460"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Deduction for bonus and welfare fund 10%/Profit 2023</w:t>
            </w:r>
          </w:p>
        </w:tc>
        <w:tc>
          <w:tcPr>
            <w:tcW w:w="1154"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889,450,496</w:t>
            </w:r>
          </w:p>
        </w:tc>
      </w:tr>
      <w:tr w:rsidR="004F492E" w:rsidRPr="00737D97" w:rsidTr="00737D97">
        <w:tc>
          <w:tcPr>
            <w:tcW w:w="386" w:type="pct"/>
            <w:shd w:val="clear" w:color="auto" w:fill="auto"/>
            <w:tcMar>
              <w:top w:w="0" w:type="dxa"/>
              <w:bottom w:w="0" w:type="dxa"/>
            </w:tcMar>
            <w:vAlign w:val="center"/>
          </w:tcPr>
          <w:p w:rsidR="004F492E" w:rsidRPr="00737D97" w:rsidRDefault="004F492E" w:rsidP="00737D97">
            <w:pPr>
              <w:tabs>
                <w:tab w:val="left" w:pos="426"/>
              </w:tabs>
              <w:spacing w:after="120" w:line="360" w:lineRule="auto"/>
              <w:rPr>
                <w:rFonts w:ascii="Arial" w:eastAsia="Arial" w:hAnsi="Arial" w:cs="Arial"/>
                <w:color w:val="010000"/>
                <w:sz w:val="20"/>
                <w:szCs w:val="20"/>
              </w:rPr>
            </w:pPr>
          </w:p>
        </w:tc>
        <w:tc>
          <w:tcPr>
            <w:tcW w:w="3460"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Reduction due to deduction for bonus and welfare fund from 2020 profit</w:t>
            </w:r>
          </w:p>
        </w:tc>
        <w:tc>
          <w:tcPr>
            <w:tcW w:w="1154"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(629,866,931)</w:t>
            </w:r>
          </w:p>
        </w:tc>
      </w:tr>
      <w:tr w:rsidR="004F492E" w:rsidRPr="00737D97" w:rsidTr="00737D97">
        <w:tc>
          <w:tcPr>
            <w:tcW w:w="386" w:type="pct"/>
            <w:shd w:val="clear" w:color="auto" w:fill="auto"/>
            <w:tcMar>
              <w:top w:w="0" w:type="dxa"/>
              <w:bottom w:w="0" w:type="dxa"/>
            </w:tcMar>
            <w:vAlign w:val="center"/>
          </w:tcPr>
          <w:p w:rsidR="004F492E" w:rsidRPr="00737D97" w:rsidRDefault="004F492E" w:rsidP="00737D97">
            <w:pPr>
              <w:tabs>
                <w:tab w:val="left" w:pos="426"/>
              </w:tabs>
              <w:spacing w:after="120" w:line="360" w:lineRule="auto"/>
              <w:rPr>
                <w:rFonts w:ascii="Arial" w:eastAsia="Arial" w:hAnsi="Arial" w:cs="Arial"/>
                <w:color w:val="010000"/>
                <w:sz w:val="20"/>
                <w:szCs w:val="20"/>
              </w:rPr>
            </w:pPr>
          </w:p>
        </w:tc>
        <w:tc>
          <w:tcPr>
            <w:tcW w:w="3460"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Total deduction for bonus and welfare fund 2023</w:t>
            </w:r>
          </w:p>
        </w:tc>
        <w:tc>
          <w:tcPr>
            <w:tcW w:w="1154"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259,583,565</w:t>
            </w:r>
          </w:p>
        </w:tc>
      </w:tr>
      <w:tr w:rsidR="004F492E" w:rsidRPr="00737D97" w:rsidTr="00737D97">
        <w:tc>
          <w:tcPr>
            <w:tcW w:w="386"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5.3</w:t>
            </w:r>
          </w:p>
        </w:tc>
        <w:tc>
          <w:tcPr>
            <w:tcW w:w="3460"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Appropriation for bonus fund for the Broad of Directors, Supervisory Board, Executive Board</w:t>
            </w:r>
          </w:p>
        </w:tc>
        <w:tc>
          <w:tcPr>
            <w:tcW w:w="1154"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500,000,000</w:t>
            </w:r>
          </w:p>
        </w:tc>
      </w:tr>
      <w:tr w:rsidR="004F492E" w:rsidRPr="00737D97" w:rsidTr="00737D97">
        <w:tc>
          <w:tcPr>
            <w:tcW w:w="386" w:type="pct"/>
            <w:shd w:val="clear" w:color="auto" w:fill="auto"/>
            <w:tcMar>
              <w:top w:w="0" w:type="dxa"/>
              <w:bottom w:w="0" w:type="dxa"/>
            </w:tcMar>
            <w:vAlign w:val="center"/>
          </w:tcPr>
          <w:p w:rsidR="004F492E" w:rsidRPr="00737D97" w:rsidRDefault="004F492E" w:rsidP="00737D97">
            <w:pPr>
              <w:tabs>
                <w:tab w:val="left" w:pos="426"/>
              </w:tabs>
              <w:spacing w:after="120" w:line="360" w:lineRule="auto"/>
              <w:rPr>
                <w:rFonts w:ascii="Arial" w:eastAsia="Arial" w:hAnsi="Arial" w:cs="Arial"/>
                <w:color w:val="010000"/>
                <w:sz w:val="20"/>
                <w:szCs w:val="20"/>
              </w:rPr>
            </w:pPr>
          </w:p>
        </w:tc>
        <w:tc>
          <w:tcPr>
            <w:tcW w:w="3460"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Increase due to deduction from profit source 2020 </w:t>
            </w:r>
          </w:p>
        </w:tc>
        <w:tc>
          <w:tcPr>
            <w:tcW w:w="1154"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629,866,931</w:t>
            </w:r>
          </w:p>
        </w:tc>
      </w:tr>
      <w:tr w:rsidR="004F492E" w:rsidRPr="00737D97" w:rsidTr="00737D97">
        <w:tc>
          <w:tcPr>
            <w:tcW w:w="386" w:type="pct"/>
            <w:shd w:val="clear" w:color="auto" w:fill="auto"/>
            <w:tcMar>
              <w:top w:w="0" w:type="dxa"/>
              <w:bottom w:w="0" w:type="dxa"/>
            </w:tcMar>
            <w:vAlign w:val="center"/>
          </w:tcPr>
          <w:p w:rsidR="004F492E" w:rsidRPr="00737D97" w:rsidRDefault="004F492E" w:rsidP="00737D97">
            <w:pPr>
              <w:tabs>
                <w:tab w:val="left" w:pos="426"/>
              </w:tabs>
              <w:spacing w:after="120" w:line="360" w:lineRule="auto"/>
              <w:rPr>
                <w:rFonts w:ascii="Arial" w:eastAsia="Arial" w:hAnsi="Arial" w:cs="Arial"/>
                <w:color w:val="010000"/>
                <w:sz w:val="20"/>
                <w:szCs w:val="20"/>
              </w:rPr>
            </w:pPr>
          </w:p>
        </w:tc>
        <w:tc>
          <w:tcPr>
            <w:tcW w:w="3460"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Total deduction for bonus fund for Broad of Directors, Supervisory Board, Executive Board 2023</w:t>
            </w:r>
          </w:p>
        </w:tc>
        <w:tc>
          <w:tcPr>
            <w:tcW w:w="1154"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1,129,866,931</w:t>
            </w:r>
          </w:p>
        </w:tc>
      </w:tr>
      <w:tr w:rsidR="004F492E" w:rsidRPr="00737D97" w:rsidTr="00737D97">
        <w:tc>
          <w:tcPr>
            <w:tcW w:w="386"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5.4</w:t>
            </w:r>
          </w:p>
        </w:tc>
        <w:tc>
          <w:tcPr>
            <w:tcW w:w="3460"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Dividend payment 10%/Owner's equity (in cash)</w:t>
            </w:r>
          </w:p>
        </w:tc>
        <w:tc>
          <w:tcPr>
            <w:tcW w:w="1154"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8,000,000,000</w:t>
            </w:r>
          </w:p>
        </w:tc>
      </w:tr>
      <w:tr w:rsidR="004F492E" w:rsidRPr="00737D97" w:rsidTr="00737D97">
        <w:tc>
          <w:tcPr>
            <w:tcW w:w="386" w:type="pct"/>
            <w:shd w:val="clear" w:color="auto" w:fill="auto"/>
            <w:tcMar>
              <w:top w:w="0" w:type="dxa"/>
              <w:bottom w:w="0" w:type="dxa"/>
            </w:tcMar>
            <w:vAlign w:val="center"/>
          </w:tcPr>
          <w:p w:rsidR="004F492E" w:rsidRPr="00737D97" w:rsidRDefault="004F492E" w:rsidP="00737D97">
            <w:pPr>
              <w:tabs>
                <w:tab w:val="left" w:pos="426"/>
              </w:tabs>
              <w:spacing w:after="120" w:line="360" w:lineRule="auto"/>
              <w:rPr>
                <w:rFonts w:ascii="Arial" w:eastAsia="Arial" w:hAnsi="Arial" w:cs="Arial"/>
                <w:color w:val="010000"/>
                <w:sz w:val="20"/>
                <w:szCs w:val="20"/>
              </w:rPr>
            </w:pPr>
          </w:p>
        </w:tc>
        <w:tc>
          <w:tcPr>
            <w:tcW w:w="3460"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Total profit distribution for 2023</w:t>
            </w:r>
          </w:p>
        </w:tc>
        <w:tc>
          <w:tcPr>
            <w:tcW w:w="1154"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10,278,900,992</w:t>
            </w:r>
          </w:p>
        </w:tc>
      </w:tr>
      <w:tr w:rsidR="004F492E" w:rsidRPr="00737D97" w:rsidTr="00737D97">
        <w:tc>
          <w:tcPr>
            <w:tcW w:w="386"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6</w:t>
            </w:r>
          </w:p>
        </w:tc>
        <w:tc>
          <w:tcPr>
            <w:tcW w:w="3460"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Accumulated remaining profit carried forward to next year</w:t>
            </w:r>
          </w:p>
        </w:tc>
        <w:tc>
          <w:tcPr>
            <w:tcW w:w="1154" w:type="pct"/>
            <w:shd w:val="clear" w:color="auto" w:fill="auto"/>
            <w:tcMar>
              <w:top w:w="0" w:type="dxa"/>
              <w:bottom w:w="0" w:type="dxa"/>
            </w:tcMar>
            <w:vAlign w:val="center"/>
          </w:tcPr>
          <w:p w:rsidR="004F492E" w:rsidRPr="00737D97" w:rsidRDefault="00737D97" w:rsidP="00737D9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20,474,563,082</w:t>
            </w:r>
          </w:p>
        </w:tc>
      </w:tr>
    </w:tbl>
    <w:p w:rsidR="004F492E" w:rsidRPr="00737D97" w:rsidRDefault="00737D97" w:rsidP="00C92DE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The </w:t>
      </w:r>
      <w:r w:rsidR="00C92DE7">
        <w:rPr>
          <w:rFonts w:ascii="Arial" w:hAnsi="Arial"/>
          <w:color w:val="010000"/>
          <w:sz w:val="20"/>
        </w:rPr>
        <w:t>General Meeting</w:t>
      </w:r>
      <w:r>
        <w:rPr>
          <w:rFonts w:ascii="Arial" w:hAnsi="Arial"/>
          <w:color w:val="010000"/>
          <w:sz w:val="20"/>
        </w:rPr>
        <w:t xml:space="preserve"> authorizes the Board of Directors of the Company, depending on the actual situation, to decide and consider rewarding each member of the Board of Directors, Supervisory Board, and Executive Board from the bonus fund for the Board of Directors, Supervisory Board, and Executive Board approved by the </w:t>
      </w:r>
      <w:r w:rsidR="00C92DE7">
        <w:rPr>
          <w:rFonts w:ascii="Arial" w:hAnsi="Arial"/>
          <w:color w:val="010000"/>
          <w:sz w:val="20"/>
        </w:rPr>
        <w:t>General Meeting</w:t>
      </w:r>
      <w:r>
        <w:rPr>
          <w:rFonts w:ascii="Arial" w:hAnsi="Arial"/>
          <w:color w:val="010000"/>
          <w:sz w:val="20"/>
        </w:rPr>
        <w:t>.</w:t>
      </w:r>
    </w:p>
    <w:p w:rsidR="004F492E" w:rsidRPr="00737D97" w:rsidRDefault="00737D97" w:rsidP="00C92DE7">
      <w:pPr>
        <w:numPr>
          <w:ilvl w:val="0"/>
          <w:numId w:val="10"/>
        </w:numPr>
        <w:pBdr>
          <w:top w:val="nil"/>
          <w:left w:val="nil"/>
          <w:bottom w:val="nil"/>
          <w:right w:val="nil"/>
          <w:between w:val="nil"/>
        </w:pBdr>
        <w:tabs>
          <w:tab w:val="left" w:pos="426"/>
          <w:tab w:val="left" w:pos="559"/>
        </w:tabs>
        <w:spacing w:after="120" w:line="360" w:lineRule="auto"/>
        <w:jc w:val="both"/>
        <w:rPr>
          <w:rFonts w:ascii="Arial" w:eastAsia="Arial" w:hAnsi="Arial" w:cs="Arial"/>
          <w:color w:val="010000"/>
          <w:sz w:val="20"/>
          <w:szCs w:val="20"/>
        </w:rPr>
      </w:pPr>
      <w:r>
        <w:rPr>
          <w:rFonts w:ascii="Arial" w:hAnsi="Arial"/>
          <w:color w:val="010000"/>
          <w:sz w:val="20"/>
        </w:rPr>
        <w:t xml:space="preserve">General Mandate 7: The </w:t>
      </w:r>
      <w:r w:rsidR="00C92DE7">
        <w:rPr>
          <w:rFonts w:ascii="Arial" w:hAnsi="Arial"/>
          <w:color w:val="010000"/>
          <w:sz w:val="20"/>
        </w:rPr>
        <w:t>General Meeting</w:t>
      </w:r>
      <w:r>
        <w:rPr>
          <w:rFonts w:ascii="Arial" w:hAnsi="Arial"/>
          <w:color w:val="010000"/>
          <w:sz w:val="20"/>
        </w:rPr>
        <w:t xml:space="preserve"> authorizes the Board of Directors to decide on approving the selection of an independent audit company to audit the Financial Statements for 2024 according to the Proposal of the Supervisory Board of the Company as follows:</w:t>
      </w:r>
    </w:p>
    <w:p w:rsidR="004F492E" w:rsidRPr="00737D97" w:rsidRDefault="00737D97" w:rsidP="00C92DE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The </w:t>
      </w:r>
      <w:r w:rsidR="00C92DE7">
        <w:rPr>
          <w:rFonts w:ascii="Arial" w:hAnsi="Arial"/>
          <w:color w:val="010000"/>
          <w:sz w:val="20"/>
        </w:rPr>
        <w:t>General Meeting</w:t>
      </w:r>
      <w:r>
        <w:rPr>
          <w:rFonts w:ascii="Arial" w:hAnsi="Arial"/>
          <w:color w:val="010000"/>
          <w:sz w:val="20"/>
        </w:rPr>
        <w:t xml:space="preserve"> approves the List of independent audit companies to perform the audit of the Company's Financial Statements for 2024, including:</w:t>
      </w:r>
    </w:p>
    <w:p w:rsidR="004F492E" w:rsidRPr="00737D97" w:rsidRDefault="00737D97" w:rsidP="00C92DE7">
      <w:pPr>
        <w:numPr>
          <w:ilvl w:val="0"/>
          <w:numId w:val="5"/>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AASC Auditing Firm Company Limited</w:t>
      </w:r>
    </w:p>
    <w:p w:rsidR="00737D97" w:rsidRPr="00737D97" w:rsidRDefault="00737D97" w:rsidP="00C92DE7">
      <w:pPr>
        <w:numPr>
          <w:ilvl w:val="0"/>
          <w:numId w:val="5"/>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bookmarkStart w:id="0" w:name="_heading=h.gjdgxs"/>
      <w:bookmarkEnd w:id="0"/>
      <w:r>
        <w:rPr>
          <w:rFonts w:ascii="Arial" w:hAnsi="Arial"/>
          <w:color w:val="010000"/>
          <w:sz w:val="20"/>
        </w:rPr>
        <w:t xml:space="preserve">Branch of MOORE AISC Auditing and Informatics Services Company Limited (AISC) </w:t>
      </w:r>
    </w:p>
    <w:p w:rsidR="004F492E" w:rsidRPr="00737D97" w:rsidRDefault="00737D97" w:rsidP="00C92DE7">
      <w:pPr>
        <w:numPr>
          <w:ilvl w:val="0"/>
          <w:numId w:val="5"/>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International Auditing and Valuation Company Limited (IAV)</w:t>
      </w:r>
    </w:p>
    <w:p w:rsidR="004F492E" w:rsidRPr="00737D97" w:rsidRDefault="00737D97" w:rsidP="00C92DE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The </w:t>
      </w:r>
      <w:r w:rsidR="00C92DE7">
        <w:rPr>
          <w:rFonts w:ascii="Arial" w:hAnsi="Arial"/>
          <w:color w:val="010000"/>
          <w:sz w:val="20"/>
        </w:rPr>
        <w:t>General Meeting</w:t>
      </w:r>
      <w:r>
        <w:rPr>
          <w:rFonts w:ascii="Arial" w:hAnsi="Arial"/>
          <w:color w:val="010000"/>
          <w:sz w:val="20"/>
        </w:rPr>
        <w:t xml:space="preserve"> authorizes the Board of Directors to decide on approving the selection of an independent audit company to audit the Financial Statements for 2024.</w:t>
      </w:r>
    </w:p>
    <w:p w:rsidR="004F492E" w:rsidRPr="00737D97" w:rsidRDefault="00737D97" w:rsidP="00C92DE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Article 2. This General Mandate takes effect on the date of its approval.</w:t>
      </w:r>
    </w:p>
    <w:p w:rsidR="004F492E" w:rsidRPr="00737D97" w:rsidRDefault="00737D97" w:rsidP="00C92DE7">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Members of the Board of Directors, Supervisory Board, </w:t>
      </w:r>
      <w:r w:rsidR="00C92DE7">
        <w:rPr>
          <w:rFonts w:ascii="Arial" w:hAnsi="Arial"/>
          <w:color w:val="010000"/>
          <w:sz w:val="20"/>
        </w:rPr>
        <w:t>Executive Board</w:t>
      </w:r>
      <w:bookmarkStart w:id="1" w:name="_GoBack"/>
      <w:bookmarkEnd w:id="1"/>
      <w:r>
        <w:rPr>
          <w:rFonts w:ascii="Arial" w:hAnsi="Arial"/>
          <w:color w:val="010000"/>
          <w:sz w:val="20"/>
        </w:rPr>
        <w:t xml:space="preserve">, shareholders of the Company and relevant organizations and individuals are responsible for the implementation of this General Mandate. </w:t>
      </w:r>
    </w:p>
    <w:sectPr w:rsidR="004F492E" w:rsidRPr="00737D97" w:rsidSect="00737D9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843D1"/>
    <w:multiLevelType w:val="multilevel"/>
    <w:tmpl w:val="EFF2D7D2"/>
    <w:lvl w:ilvl="0">
      <w:start w:val="1"/>
      <w:numFmt w:val="decimal"/>
      <w:lvlText w:val="%1-"/>
      <w:lvlJc w:val="left"/>
      <w:pPr>
        <w:ind w:left="720" w:hanging="360"/>
      </w:pPr>
      <w:rPr>
        <w:rFonts w:ascii="Arial" w:eastAsia="Arial" w:hAnsi="Arial" w:cs="Arial"/>
        <w:b w:val="0"/>
        <w:i w:val="0"/>
        <w:color w:val="444549"/>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9C567E"/>
    <w:multiLevelType w:val="multilevel"/>
    <w:tmpl w:val="C6148A7C"/>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9EA66DD"/>
    <w:multiLevelType w:val="multilevel"/>
    <w:tmpl w:val="F4E0CBD4"/>
    <w:lvl w:ilvl="0">
      <w:start w:val="1"/>
      <w:numFmt w:val="bullet"/>
      <w:lvlText w:val="-"/>
      <w:lvlJc w:val="left"/>
      <w:pPr>
        <w:ind w:left="720" w:hanging="360"/>
      </w:pPr>
      <w:rPr>
        <w:rFonts w:ascii="Arial" w:eastAsia="Arial" w:hAnsi="Arial" w:cs="Arial"/>
        <w:b w:val="0"/>
        <w:i w:val="0"/>
        <w:color w:val="444549"/>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DF0386"/>
    <w:multiLevelType w:val="multilevel"/>
    <w:tmpl w:val="7DA0CA8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8B1BAD"/>
    <w:multiLevelType w:val="multilevel"/>
    <w:tmpl w:val="D76CEF3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E9303A5"/>
    <w:multiLevelType w:val="multilevel"/>
    <w:tmpl w:val="46EE6DB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7C246D0"/>
    <w:multiLevelType w:val="multilevel"/>
    <w:tmpl w:val="ACAE34D6"/>
    <w:lvl w:ilvl="0">
      <w:start w:val="1"/>
      <w:numFmt w:val="bullet"/>
      <w:lvlText w:val="-"/>
      <w:lvlJc w:val="left"/>
      <w:pPr>
        <w:ind w:left="0" w:firstLine="0"/>
      </w:pPr>
      <w:rPr>
        <w:rFonts w:ascii="Arial" w:eastAsia="Arial" w:hAnsi="Arial" w:cs="Arial"/>
        <w:b w:val="0"/>
        <w:i w:val="0"/>
        <w:smallCaps w:val="0"/>
        <w:strike w:val="0"/>
        <w:color w:val="444549"/>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8541C85"/>
    <w:multiLevelType w:val="multilevel"/>
    <w:tmpl w:val="CEB0F2D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C7108B9"/>
    <w:multiLevelType w:val="multilevel"/>
    <w:tmpl w:val="C186B24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5881D62"/>
    <w:multiLevelType w:val="multilevel"/>
    <w:tmpl w:val="FF52B9FA"/>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 w:numId="4">
    <w:abstractNumId w:val="3"/>
  </w:num>
  <w:num w:numId="5">
    <w:abstractNumId w:val="5"/>
  </w:num>
  <w:num w:numId="6">
    <w:abstractNumId w:val="8"/>
  </w:num>
  <w:num w:numId="7">
    <w:abstractNumId w:val="7"/>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2E"/>
    <w:rsid w:val="004F492E"/>
    <w:rsid w:val="00737D97"/>
    <w:rsid w:val="00C9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45F14"/>
  <w15:docId w15:val="{8EB9622A-D517-49DE-BD4C-50BA0C98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444549"/>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5"/>
      <w:szCs w:val="15"/>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0"/>
      <w:szCs w:val="20"/>
      <w:u w:val="none"/>
      <w:shd w:val="clear" w:color="auto" w:fill="auto"/>
    </w:rPr>
  </w:style>
  <w:style w:type="paragraph" w:customStyle="1" w:styleId="Tablecaption0">
    <w:name w:val="Table caption"/>
    <w:basedOn w:val="Normal"/>
    <w:link w:val="Tablecaption"/>
    <w:pPr>
      <w:spacing w:line="288" w:lineRule="auto"/>
      <w:ind w:firstLine="540"/>
    </w:pPr>
    <w:rPr>
      <w:rFonts w:ascii="Times New Roman" w:eastAsia="Times New Roman" w:hAnsi="Times New Roman" w:cs="Times New Roman"/>
    </w:rPr>
  </w:style>
  <w:style w:type="paragraph" w:customStyle="1" w:styleId="Other0">
    <w:name w:val="Other"/>
    <w:basedOn w:val="Normal"/>
    <w:link w:val="Other"/>
    <w:pPr>
      <w:spacing w:line="264" w:lineRule="auto"/>
    </w:pPr>
    <w:rPr>
      <w:rFonts w:ascii="Times New Roman" w:eastAsia="Times New Roman" w:hAnsi="Times New Roman" w:cs="Times New Roman"/>
    </w:rPr>
  </w:style>
  <w:style w:type="paragraph" w:styleId="BodyText">
    <w:name w:val="Body Text"/>
    <w:basedOn w:val="Normal"/>
    <w:link w:val="BodyTextChar"/>
    <w:qFormat/>
    <w:pPr>
      <w:spacing w:line="264" w:lineRule="auto"/>
    </w:pPr>
    <w:rPr>
      <w:rFonts w:ascii="Times New Roman" w:eastAsia="Times New Roman" w:hAnsi="Times New Roman" w:cs="Times New Roman"/>
    </w:rPr>
  </w:style>
  <w:style w:type="paragraph" w:customStyle="1" w:styleId="Heading11">
    <w:name w:val="Heading #1"/>
    <w:basedOn w:val="Normal"/>
    <w:link w:val="Heading10"/>
    <w:pPr>
      <w:spacing w:line="293" w:lineRule="auto"/>
      <w:ind w:left="2510"/>
      <w:jc w:val="center"/>
      <w:outlineLvl w:val="0"/>
    </w:pPr>
    <w:rPr>
      <w:rFonts w:ascii="Times New Roman" w:eastAsia="Times New Roman" w:hAnsi="Times New Roman" w:cs="Times New Roman"/>
      <w:b/>
      <w:bCs/>
      <w:color w:val="444549"/>
      <w:sz w:val="26"/>
      <w:szCs w:val="26"/>
    </w:rPr>
  </w:style>
  <w:style w:type="paragraph" w:customStyle="1" w:styleId="Bodytext40">
    <w:name w:val="Body text (4)"/>
    <w:basedOn w:val="Normal"/>
    <w:link w:val="Bodytext4"/>
    <w:rPr>
      <w:rFonts w:ascii="Times New Roman" w:eastAsia="Times New Roman" w:hAnsi="Times New Roman" w:cs="Times New Roman"/>
      <w:color w:val="FF0000"/>
      <w:sz w:val="10"/>
      <w:szCs w:val="10"/>
    </w:rPr>
  </w:style>
  <w:style w:type="paragraph" w:customStyle="1" w:styleId="Bodytext20">
    <w:name w:val="Body text (2)"/>
    <w:basedOn w:val="Normal"/>
    <w:link w:val="Bodytext2"/>
    <w:pPr>
      <w:spacing w:line="221" w:lineRule="auto"/>
    </w:pPr>
    <w:rPr>
      <w:rFonts w:ascii="Times New Roman" w:eastAsia="Times New Roman" w:hAnsi="Times New Roman" w:cs="Times New Roman"/>
      <w:color w:val="FF0000"/>
      <w:sz w:val="15"/>
      <w:szCs w:val="15"/>
    </w:rPr>
  </w:style>
  <w:style w:type="paragraph" w:customStyle="1" w:styleId="Bodytext30">
    <w:name w:val="Body text (3)"/>
    <w:basedOn w:val="Normal"/>
    <w:link w:val="Bodytext3"/>
    <w:pPr>
      <w:spacing w:line="257" w:lineRule="auto"/>
      <w:ind w:left="480"/>
      <w:jc w:val="right"/>
    </w:pPr>
    <w:rPr>
      <w:rFonts w:ascii="Arial" w:eastAsia="Arial" w:hAnsi="Arial" w:cs="Arial"/>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Jc5DRZ9NU0QZK07kJgsqRU6WyA==">CgMxLjAyCGguZ2pkZ3hzOAByITFrZGtscElvRUxzdXktci1aM09KT21KZWZUODZiQ3BKYg==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2024-05-07T04:14:00Z</dcterms:created>
  <dcterms:modified xsi:type="dcterms:W3CDTF">2024-05-07T04:14:00Z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c30868a2cde4fdf7e04f581ce2b3d5843e04c283613676f5310368993ff560be</vt:lpwstr>
  </property>
</Properties>
</file>