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832" w:rsidRPr="00D54D8C" w:rsidRDefault="001B3621" w:rsidP="00D54D8C">
      <w:pPr>
        <w:pBdr>
          <w:top w:val="nil"/>
          <w:left w:val="nil"/>
          <w:bottom w:val="nil"/>
          <w:right w:val="nil"/>
          <w:between w:val="nil"/>
        </w:pBdr>
        <w:tabs>
          <w:tab w:val="left" w:pos="5995"/>
        </w:tabs>
        <w:spacing w:after="120" w:line="360" w:lineRule="auto"/>
        <w:rPr>
          <w:rFonts w:ascii="Arial" w:eastAsia="Arial" w:hAnsi="Arial" w:cs="Arial"/>
          <w:b/>
          <w:color w:val="auto"/>
          <w:sz w:val="20"/>
          <w:szCs w:val="20"/>
        </w:rPr>
      </w:pPr>
      <w:r>
        <w:rPr>
          <w:rFonts w:ascii="Arial" w:hAnsi="Arial"/>
          <w:b/>
          <w:color w:val="auto"/>
          <w:sz w:val="20"/>
        </w:rPr>
        <w:t>HCT: Annual General Mandate 2024</w:t>
      </w:r>
    </w:p>
    <w:p w:rsidR="00892832" w:rsidRPr="00D54D8C" w:rsidRDefault="001B3621" w:rsidP="00DE2A4B">
      <w:pPr>
        <w:pBdr>
          <w:top w:val="nil"/>
          <w:left w:val="nil"/>
          <w:bottom w:val="nil"/>
          <w:right w:val="nil"/>
          <w:between w:val="nil"/>
        </w:pBdr>
        <w:tabs>
          <w:tab w:val="left" w:pos="5995"/>
        </w:tabs>
        <w:spacing w:after="120" w:line="360" w:lineRule="auto"/>
        <w:jc w:val="both"/>
        <w:rPr>
          <w:rFonts w:ascii="Arial" w:eastAsia="Arial" w:hAnsi="Arial" w:cs="Arial"/>
          <w:sz w:val="20"/>
          <w:szCs w:val="20"/>
        </w:rPr>
      </w:pPr>
      <w:r>
        <w:rPr>
          <w:rFonts w:ascii="Arial" w:hAnsi="Arial"/>
          <w:sz w:val="20"/>
        </w:rPr>
        <w:t xml:space="preserve">On April 26, 2024, Hai </w:t>
      </w:r>
      <w:proofErr w:type="spellStart"/>
      <w:r>
        <w:rPr>
          <w:rFonts w:ascii="Arial" w:hAnsi="Arial"/>
          <w:sz w:val="20"/>
        </w:rPr>
        <w:t>Phong</w:t>
      </w:r>
      <w:proofErr w:type="spellEnd"/>
      <w:r>
        <w:rPr>
          <w:rFonts w:ascii="Arial" w:hAnsi="Arial"/>
          <w:sz w:val="20"/>
        </w:rPr>
        <w:t xml:space="preserve"> Cement Transport and Trading JSC announced General Mandate No. 22/NQ-DHDCD as follows:</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1. Approve the Production and Business Results Report 2023 of the Board of Directors with some key indicators as follows:</w:t>
      </w:r>
    </w:p>
    <w:p w:rsidR="00892832" w:rsidRPr="00D54D8C" w:rsidRDefault="001B3621" w:rsidP="00D54D8C">
      <w:pPr>
        <w:numPr>
          <w:ilvl w:val="0"/>
          <w:numId w:val="1"/>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Business results of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
        <w:gridCol w:w="3136"/>
        <w:gridCol w:w="1394"/>
        <w:gridCol w:w="1419"/>
        <w:gridCol w:w="2362"/>
      </w:tblGrid>
      <w:tr w:rsidR="00892832" w:rsidRPr="00D54D8C" w:rsidTr="00DE2A4B">
        <w:tc>
          <w:tcPr>
            <w:tcW w:w="391"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173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Main targets</w:t>
            </w:r>
          </w:p>
        </w:tc>
        <w:tc>
          <w:tcPr>
            <w:tcW w:w="77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Unit</w:t>
            </w:r>
          </w:p>
        </w:tc>
        <w:tc>
          <w:tcPr>
            <w:tcW w:w="78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Results 2023 </w:t>
            </w:r>
          </w:p>
        </w:tc>
        <w:tc>
          <w:tcPr>
            <w:tcW w:w="1310"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Note</w:t>
            </w:r>
          </w:p>
        </w:tc>
      </w:tr>
      <w:tr w:rsidR="001B3621" w:rsidRPr="00D54D8C" w:rsidTr="00DE2A4B">
        <w:tc>
          <w:tcPr>
            <w:tcW w:w="391"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w:t>
            </w:r>
          </w:p>
        </w:tc>
        <w:tc>
          <w:tcPr>
            <w:tcW w:w="1739"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Transport and trading volume </w:t>
            </w:r>
          </w:p>
        </w:tc>
        <w:tc>
          <w:tcPr>
            <w:tcW w:w="773" w:type="pct"/>
            <w:shd w:val="clear" w:color="auto" w:fill="auto"/>
            <w:tcMar>
              <w:top w:w="0" w:type="dxa"/>
              <w:bottom w:w="0" w:type="dxa"/>
            </w:tcMar>
          </w:tcPr>
          <w:p w:rsidR="001B3621" w:rsidRDefault="001B3621" w:rsidP="00DE2A4B">
            <w:pPr>
              <w:jc w:val="center"/>
            </w:pPr>
            <w:r>
              <w:rPr>
                <w:rFonts w:ascii="Arial" w:hAnsi="Arial"/>
                <w:sz w:val="20"/>
              </w:rPr>
              <w:t>Tons</w:t>
            </w:r>
          </w:p>
        </w:tc>
        <w:tc>
          <w:tcPr>
            <w:tcW w:w="787"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c>
          <w:tcPr>
            <w:tcW w:w="1310"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1B3621" w:rsidRPr="00D54D8C" w:rsidTr="00DE2A4B">
        <w:tc>
          <w:tcPr>
            <w:tcW w:w="391"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1.1</w:t>
            </w:r>
          </w:p>
        </w:tc>
        <w:tc>
          <w:tcPr>
            <w:tcW w:w="1739"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Cement trading tons</w:t>
            </w:r>
          </w:p>
        </w:tc>
        <w:tc>
          <w:tcPr>
            <w:tcW w:w="773" w:type="pct"/>
            <w:shd w:val="clear" w:color="auto" w:fill="auto"/>
            <w:tcMar>
              <w:top w:w="0" w:type="dxa"/>
              <w:bottom w:w="0" w:type="dxa"/>
            </w:tcMar>
          </w:tcPr>
          <w:p w:rsidR="001B3621" w:rsidRDefault="001B3621" w:rsidP="00DE2A4B">
            <w:pPr>
              <w:jc w:val="center"/>
            </w:pPr>
            <w:r>
              <w:rPr>
                <w:rFonts w:ascii="Arial" w:hAnsi="Arial"/>
                <w:sz w:val="20"/>
              </w:rPr>
              <w:t>Tons</w:t>
            </w:r>
          </w:p>
        </w:tc>
        <w:tc>
          <w:tcPr>
            <w:tcW w:w="787"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16,416</w:t>
            </w:r>
          </w:p>
        </w:tc>
        <w:tc>
          <w:tcPr>
            <w:tcW w:w="1310"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1B3621" w:rsidRPr="00D54D8C" w:rsidTr="00DE2A4B">
        <w:tc>
          <w:tcPr>
            <w:tcW w:w="391"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1.2</w:t>
            </w:r>
          </w:p>
        </w:tc>
        <w:tc>
          <w:tcPr>
            <w:tcW w:w="1739"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Road transport tons</w:t>
            </w:r>
          </w:p>
        </w:tc>
        <w:tc>
          <w:tcPr>
            <w:tcW w:w="773" w:type="pct"/>
            <w:shd w:val="clear" w:color="auto" w:fill="auto"/>
            <w:tcMar>
              <w:top w:w="0" w:type="dxa"/>
              <w:bottom w:w="0" w:type="dxa"/>
            </w:tcMar>
          </w:tcPr>
          <w:p w:rsidR="001B3621" w:rsidRDefault="001B3621" w:rsidP="00DE2A4B">
            <w:pPr>
              <w:jc w:val="center"/>
            </w:pPr>
            <w:r>
              <w:rPr>
                <w:rFonts w:ascii="Arial" w:hAnsi="Arial"/>
                <w:sz w:val="20"/>
              </w:rPr>
              <w:t>Tons</w:t>
            </w:r>
          </w:p>
        </w:tc>
        <w:tc>
          <w:tcPr>
            <w:tcW w:w="787"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385,775</w:t>
            </w:r>
          </w:p>
        </w:tc>
        <w:tc>
          <w:tcPr>
            <w:tcW w:w="1310"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1B3621" w:rsidRPr="00D54D8C" w:rsidTr="00DE2A4B">
        <w:tc>
          <w:tcPr>
            <w:tcW w:w="391"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1.3</w:t>
            </w:r>
          </w:p>
        </w:tc>
        <w:tc>
          <w:tcPr>
            <w:tcW w:w="1739"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Loading and unloading</w:t>
            </w:r>
          </w:p>
        </w:tc>
        <w:tc>
          <w:tcPr>
            <w:tcW w:w="773" w:type="pct"/>
            <w:shd w:val="clear" w:color="auto" w:fill="auto"/>
            <w:tcMar>
              <w:top w:w="0" w:type="dxa"/>
              <w:bottom w:w="0" w:type="dxa"/>
            </w:tcMar>
          </w:tcPr>
          <w:p w:rsidR="001B3621" w:rsidRDefault="001B3621" w:rsidP="00DE2A4B">
            <w:pPr>
              <w:jc w:val="center"/>
            </w:pPr>
            <w:r>
              <w:rPr>
                <w:rFonts w:ascii="Arial" w:hAnsi="Arial"/>
                <w:sz w:val="20"/>
              </w:rPr>
              <w:t>Tons</w:t>
            </w:r>
          </w:p>
        </w:tc>
        <w:tc>
          <w:tcPr>
            <w:tcW w:w="787"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238,922</w:t>
            </w:r>
          </w:p>
        </w:tc>
        <w:tc>
          <w:tcPr>
            <w:tcW w:w="1310"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1B3621" w:rsidRPr="00D54D8C" w:rsidTr="00DE2A4B">
        <w:tc>
          <w:tcPr>
            <w:tcW w:w="391"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1.4</w:t>
            </w:r>
          </w:p>
        </w:tc>
        <w:tc>
          <w:tcPr>
            <w:tcW w:w="1739"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Inland waterway transport</w:t>
            </w:r>
          </w:p>
        </w:tc>
        <w:tc>
          <w:tcPr>
            <w:tcW w:w="773" w:type="pct"/>
            <w:shd w:val="clear" w:color="auto" w:fill="auto"/>
            <w:tcMar>
              <w:top w:w="0" w:type="dxa"/>
              <w:bottom w:w="0" w:type="dxa"/>
            </w:tcMar>
          </w:tcPr>
          <w:p w:rsidR="001B3621" w:rsidRDefault="001B3621" w:rsidP="00DE2A4B">
            <w:pPr>
              <w:jc w:val="center"/>
            </w:pPr>
            <w:r>
              <w:rPr>
                <w:rFonts w:ascii="Arial" w:hAnsi="Arial"/>
                <w:sz w:val="20"/>
              </w:rPr>
              <w:t>Tons</w:t>
            </w:r>
          </w:p>
        </w:tc>
        <w:tc>
          <w:tcPr>
            <w:tcW w:w="787"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57,157</w:t>
            </w:r>
          </w:p>
        </w:tc>
        <w:tc>
          <w:tcPr>
            <w:tcW w:w="1310"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1B3621" w:rsidRPr="00D54D8C" w:rsidTr="00DE2A4B">
        <w:tc>
          <w:tcPr>
            <w:tcW w:w="391"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1.5</w:t>
            </w:r>
          </w:p>
        </w:tc>
        <w:tc>
          <w:tcPr>
            <w:tcW w:w="1739"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Maritime transport </w:t>
            </w:r>
          </w:p>
        </w:tc>
        <w:tc>
          <w:tcPr>
            <w:tcW w:w="773" w:type="pct"/>
            <w:shd w:val="clear" w:color="auto" w:fill="auto"/>
            <w:tcMar>
              <w:top w:w="0" w:type="dxa"/>
              <w:bottom w:w="0" w:type="dxa"/>
            </w:tcMar>
          </w:tcPr>
          <w:p w:rsidR="001B3621" w:rsidRDefault="001B3621" w:rsidP="00DE2A4B">
            <w:pPr>
              <w:jc w:val="center"/>
            </w:pPr>
            <w:r>
              <w:rPr>
                <w:rFonts w:ascii="Arial" w:hAnsi="Arial"/>
                <w:sz w:val="20"/>
              </w:rPr>
              <w:t>Tons</w:t>
            </w:r>
          </w:p>
        </w:tc>
        <w:tc>
          <w:tcPr>
            <w:tcW w:w="787"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132,121</w:t>
            </w:r>
          </w:p>
        </w:tc>
        <w:tc>
          <w:tcPr>
            <w:tcW w:w="1310"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892832" w:rsidRPr="00D54D8C" w:rsidTr="00DE2A4B">
        <w:tc>
          <w:tcPr>
            <w:tcW w:w="391"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1.6</w:t>
            </w:r>
          </w:p>
        </w:tc>
        <w:tc>
          <w:tcPr>
            <w:tcW w:w="173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Passenger car </w:t>
            </w:r>
          </w:p>
        </w:tc>
        <w:tc>
          <w:tcPr>
            <w:tcW w:w="77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trips</w:t>
            </w:r>
          </w:p>
        </w:tc>
        <w:tc>
          <w:tcPr>
            <w:tcW w:w="78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3,666</w:t>
            </w:r>
          </w:p>
        </w:tc>
        <w:tc>
          <w:tcPr>
            <w:tcW w:w="1310"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E2A4B">
        <w:tc>
          <w:tcPr>
            <w:tcW w:w="391"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w:t>
            </w:r>
          </w:p>
        </w:tc>
        <w:tc>
          <w:tcPr>
            <w:tcW w:w="173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Total revenue</w:t>
            </w:r>
          </w:p>
        </w:tc>
        <w:tc>
          <w:tcPr>
            <w:tcW w:w="77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Million VND</w:t>
            </w:r>
          </w:p>
        </w:tc>
        <w:tc>
          <w:tcPr>
            <w:tcW w:w="78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57,524.414</w:t>
            </w:r>
          </w:p>
        </w:tc>
        <w:tc>
          <w:tcPr>
            <w:tcW w:w="1310"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E2A4B">
        <w:tc>
          <w:tcPr>
            <w:tcW w:w="391"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w:t>
            </w:r>
          </w:p>
        </w:tc>
        <w:tc>
          <w:tcPr>
            <w:tcW w:w="173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Profit before tax</w:t>
            </w:r>
          </w:p>
        </w:tc>
        <w:tc>
          <w:tcPr>
            <w:tcW w:w="77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Million VND</w:t>
            </w:r>
          </w:p>
        </w:tc>
        <w:tc>
          <w:tcPr>
            <w:tcW w:w="78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-1,752.879</w:t>
            </w:r>
          </w:p>
        </w:tc>
        <w:tc>
          <w:tcPr>
            <w:tcW w:w="1310"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E2A4B">
        <w:tc>
          <w:tcPr>
            <w:tcW w:w="391"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w:t>
            </w:r>
          </w:p>
        </w:tc>
        <w:tc>
          <w:tcPr>
            <w:tcW w:w="173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Profit after tax</w:t>
            </w:r>
          </w:p>
        </w:tc>
        <w:tc>
          <w:tcPr>
            <w:tcW w:w="77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Million VND</w:t>
            </w:r>
          </w:p>
        </w:tc>
        <w:tc>
          <w:tcPr>
            <w:tcW w:w="78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color w:val="auto"/>
                <w:sz w:val="20"/>
              </w:rPr>
              <w:t>-1,752.879</w:t>
            </w:r>
          </w:p>
        </w:tc>
        <w:tc>
          <w:tcPr>
            <w:tcW w:w="1310"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E2A4B">
        <w:tc>
          <w:tcPr>
            <w:tcW w:w="391"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w:t>
            </w:r>
          </w:p>
        </w:tc>
        <w:tc>
          <w:tcPr>
            <w:tcW w:w="173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Rate of profit after tax/owner's equity:</w:t>
            </w:r>
          </w:p>
        </w:tc>
        <w:tc>
          <w:tcPr>
            <w:tcW w:w="77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w:t>
            </w:r>
          </w:p>
        </w:tc>
        <w:tc>
          <w:tcPr>
            <w:tcW w:w="78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-6.11</w:t>
            </w:r>
          </w:p>
        </w:tc>
        <w:tc>
          <w:tcPr>
            <w:tcW w:w="1310"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E2A4B">
        <w:tc>
          <w:tcPr>
            <w:tcW w:w="391"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6</w:t>
            </w:r>
          </w:p>
        </w:tc>
        <w:tc>
          <w:tcPr>
            <w:tcW w:w="173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Payable to state budget</w:t>
            </w:r>
          </w:p>
        </w:tc>
        <w:tc>
          <w:tcPr>
            <w:tcW w:w="77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Million VND</w:t>
            </w:r>
          </w:p>
        </w:tc>
        <w:tc>
          <w:tcPr>
            <w:tcW w:w="78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2,432,780</w:t>
            </w:r>
          </w:p>
        </w:tc>
        <w:tc>
          <w:tcPr>
            <w:tcW w:w="1310"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E2A4B">
        <w:tc>
          <w:tcPr>
            <w:tcW w:w="391"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7</w:t>
            </w:r>
          </w:p>
        </w:tc>
        <w:tc>
          <w:tcPr>
            <w:tcW w:w="173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Dividend payment rate:</w:t>
            </w:r>
          </w:p>
        </w:tc>
        <w:tc>
          <w:tcPr>
            <w:tcW w:w="77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w:t>
            </w:r>
          </w:p>
        </w:tc>
        <w:tc>
          <w:tcPr>
            <w:tcW w:w="78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0</w:t>
            </w:r>
          </w:p>
        </w:tc>
        <w:tc>
          <w:tcPr>
            <w:tcW w:w="1310"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bl>
    <w:p w:rsidR="00892832" w:rsidRPr="00D54D8C" w:rsidRDefault="001B3621" w:rsidP="00D54D8C">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‎‎Article 2. Approve the Production and Business Plan 2024 of the Board of Directors with some key indicators as follows:</w:t>
      </w:r>
    </w:p>
    <w:p w:rsidR="00892832" w:rsidRPr="00D54D8C" w:rsidRDefault="001B3621" w:rsidP="00D54D8C">
      <w:pPr>
        <w:numPr>
          <w:ilvl w:val="0"/>
          <w:numId w:val="1"/>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Production and business plan for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8"/>
        <w:gridCol w:w="3169"/>
        <w:gridCol w:w="1423"/>
        <w:gridCol w:w="1450"/>
        <w:gridCol w:w="2216"/>
      </w:tblGrid>
      <w:tr w:rsidR="00892832" w:rsidRPr="00D54D8C" w:rsidTr="00D54D8C">
        <w:tc>
          <w:tcPr>
            <w:tcW w:w="420"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175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Main targets</w:t>
            </w:r>
          </w:p>
        </w:tc>
        <w:tc>
          <w:tcPr>
            <w:tcW w:w="78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Unit</w:t>
            </w:r>
          </w:p>
        </w:tc>
        <w:tc>
          <w:tcPr>
            <w:tcW w:w="804"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Plan</w:t>
            </w:r>
          </w:p>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2024</w:t>
            </w:r>
          </w:p>
        </w:tc>
        <w:tc>
          <w:tcPr>
            <w:tcW w:w="122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Note</w:t>
            </w:r>
          </w:p>
        </w:tc>
      </w:tr>
      <w:tr w:rsidR="001B3621" w:rsidRPr="00D54D8C" w:rsidTr="00AC46E8">
        <w:tc>
          <w:tcPr>
            <w:tcW w:w="420"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w:t>
            </w:r>
          </w:p>
        </w:tc>
        <w:tc>
          <w:tcPr>
            <w:tcW w:w="1757"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Transport and trading volume</w:t>
            </w:r>
          </w:p>
        </w:tc>
        <w:tc>
          <w:tcPr>
            <w:tcW w:w="789" w:type="pct"/>
            <w:shd w:val="clear" w:color="auto" w:fill="auto"/>
            <w:tcMar>
              <w:top w:w="0" w:type="dxa"/>
              <w:bottom w:w="0" w:type="dxa"/>
            </w:tcMar>
          </w:tcPr>
          <w:p w:rsidR="001B3621" w:rsidRDefault="001B3621" w:rsidP="00DE2A4B">
            <w:pPr>
              <w:jc w:val="center"/>
            </w:pPr>
            <w:r>
              <w:rPr>
                <w:rFonts w:ascii="Arial" w:hAnsi="Arial"/>
                <w:sz w:val="20"/>
              </w:rPr>
              <w:t>Tons</w:t>
            </w:r>
          </w:p>
        </w:tc>
        <w:tc>
          <w:tcPr>
            <w:tcW w:w="804"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c>
          <w:tcPr>
            <w:tcW w:w="1229"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1B3621" w:rsidRPr="00D54D8C" w:rsidTr="00AC46E8">
        <w:tc>
          <w:tcPr>
            <w:tcW w:w="420"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1.1</w:t>
            </w:r>
          </w:p>
        </w:tc>
        <w:tc>
          <w:tcPr>
            <w:tcW w:w="1757"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Cement trading tons</w:t>
            </w:r>
          </w:p>
        </w:tc>
        <w:tc>
          <w:tcPr>
            <w:tcW w:w="789" w:type="pct"/>
            <w:shd w:val="clear" w:color="auto" w:fill="auto"/>
            <w:tcMar>
              <w:top w:w="0" w:type="dxa"/>
              <w:bottom w:w="0" w:type="dxa"/>
            </w:tcMar>
          </w:tcPr>
          <w:p w:rsidR="001B3621" w:rsidRDefault="001B3621" w:rsidP="00DE2A4B">
            <w:pPr>
              <w:jc w:val="center"/>
            </w:pPr>
            <w:r>
              <w:rPr>
                <w:rFonts w:ascii="Arial" w:hAnsi="Arial"/>
                <w:sz w:val="20"/>
              </w:rPr>
              <w:t>Tons</w:t>
            </w:r>
          </w:p>
        </w:tc>
        <w:tc>
          <w:tcPr>
            <w:tcW w:w="804"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18,420</w:t>
            </w:r>
          </w:p>
        </w:tc>
        <w:tc>
          <w:tcPr>
            <w:tcW w:w="1229"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1B3621" w:rsidRPr="00D54D8C" w:rsidTr="00AC46E8">
        <w:tc>
          <w:tcPr>
            <w:tcW w:w="420"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1.2</w:t>
            </w:r>
          </w:p>
        </w:tc>
        <w:tc>
          <w:tcPr>
            <w:tcW w:w="1757"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Road transport tons</w:t>
            </w:r>
          </w:p>
        </w:tc>
        <w:tc>
          <w:tcPr>
            <w:tcW w:w="789" w:type="pct"/>
            <w:shd w:val="clear" w:color="auto" w:fill="auto"/>
            <w:tcMar>
              <w:top w:w="0" w:type="dxa"/>
              <w:bottom w:w="0" w:type="dxa"/>
            </w:tcMar>
          </w:tcPr>
          <w:p w:rsidR="001B3621" w:rsidRDefault="001B3621" w:rsidP="00DE2A4B">
            <w:pPr>
              <w:jc w:val="center"/>
            </w:pPr>
            <w:r>
              <w:rPr>
                <w:rFonts w:ascii="Arial" w:hAnsi="Arial"/>
                <w:sz w:val="20"/>
              </w:rPr>
              <w:t>Tons</w:t>
            </w:r>
          </w:p>
        </w:tc>
        <w:tc>
          <w:tcPr>
            <w:tcW w:w="804"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373,660</w:t>
            </w:r>
          </w:p>
        </w:tc>
        <w:tc>
          <w:tcPr>
            <w:tcW w:w="1229"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1B3621" w:rsidRPr="00D54D8C" w:rsidTr="00AC46E8">
        <w:tc>
          <w:tcPr>
            <w:tcW w:w="420"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1.3</w:t>
            </w:r>
          </w:p>
        </w:tc>
        <w:tc>
          <w:tcPr>
            <w:tcW w:w="1757"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Loading and unloading</w:t>
            </w:r>
          </w:p>
        </w:tc>
        <w:tc>
          <w:tcPr>
            <w:tcW w:w="789" w:type="pct"/>
            <w:shd w:val="clear" w:color="auto" w:fill="auto"/>
            <w:tcMar>
              <w:top w:w="0" w:type="dxa"/>
              <w:bottom w:w="0" w:type="dxa"/>
            </w:tcMar>
          </w:tcPr>
          <w:p w:rsidR="001B3621" w:rsidRDefault="001B3621" w:rsidP="00DE2A4B">
            <w:pPr>
              <w:jc w:val="center"/>
            </w:pPr>
            <w:r>
              <w:rPr>
                <w:rFonts w:ascii="Arial" w:hAnsi="Arial"/>
                <w:sz w:val="20"/>
              </w:rPr>
              <w:t>Tons</w:t>
            </w:r>
          </w:p>
        </w:tc>
        <w:tc>
          <w:tcPr>
            <w:tcW w:w="804"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240,000</w:t>
            </w:r>
          </w:p>
        </w:tc>
        <w:tc>
          <w:tcPr>
            <w:tcW w:w="1229"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1B3621" w:rsidRPr="00D54D8C" w:rsidTr="00AC46E8">
        <w:tc>
          <w:tcPr>
            <w:tcW w:w="420"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lastRenderedPageBreak/>
              <w:t>1.4</w:t>
            </w:r>
          </w:p>
        </w:tc>
        <w:tc>
          <w:tcPr>
            <w:tcW w:w="1757"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Inland waterway transport</w:t>
            </w:r>
          </w:p>
        </w:tc>
        <w:tc>
          <w:tcPr>
            <w:tcW w:w="789" w:type="pct"/>
            <w:shd w:val="clear" w:color="auto" w:fill="auto"/>
            <w:tcMar>
              <w:top w:w="0" w:type="dxa"/>
              <w:bottom w:w="0" w:type="dxa"/>
            </w:tcMar>
          </w:tcPr>
          <w:p w:rsidR="001B3621" w:rsidRDefault="001B3621" w:rsidP="00DE2A4B">
            <w:pPr>
              <w:jc w:val="center"/>
            </w:pPr>
            <w:r>
              <w:rPr>
                <w:rFonts w:ascii="Arial" w:hAnsi="Arial"/>
                <w:sz w:val="20"/>
              </w:rPr>
              <w:t>Tons</w:t>
            </w:r>
          </w:p>
        </w:tc>
        <w:tc>
          <w:tcPr>
            <w:tcW w:w="804" w:type="pct"/>
            <w:shd w:val="clear" w:color="auto" w:fill="auto"/>
            <w:tcMar>
              <w:top w:w="0" w:type="dxa"/>
              <w:bottom w:w="0" w:type="dxa"/>
            </w:tcMar>
            <w:vAlign w:val="center"/>
          </w:tcPr>
          <w:p w:rsidR="001B3621" w:rsidRPr="00D54D8C" w:rsidRDefault="001B3621" w:rsidP="001B3621">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75,000</w:t>
            </w:r>
          </w:p>
        </w:tc>
        <w:tc>
          <w:tcPr>
            <w:tcW w:w="1229" w:type="pct"/>
            <w:shd w:val="clear" w:color="auto" w:fill="auto"/>
            <w:tcMar>
              <w:top w:w="0" w:type="dxa"/>
              <w:bottom w:w="0" w:type="dxa"/>
            </w:tcMar>
            <w:vAlign w:val="center"/>
          </w:tcPr>
          <w:p w:rsidR="001B3621" w:rsidRPr="00D54D8C" w:rsidRDefault="001B3621" w:rsidP="001B3621">
            <w:pPr>
              <w:spacing w:after="120" w:line="360" w:lineRule="auto"/>
              <w:jc w:val="center"/>
              <w:rPr>
                <w:rFonts w:ascii="Arial" w:eastAsia="Arial" w:hAnsi="Arial" w:cs="Arial"/>
                <w:sz w:val="20"/>
                <w:szCs w:val="20"/>
              </w:rPr>
            </w:pPr>
          </w:p>
        </w:tc>
      </w:tr>
      <w:tr w:rsidR="00892832" w:rsidRPr="00D54D8C" w:rsidTr="00D54D8C">
        <w:tc>
          <w:tcPr>
            <w:tcW w:w="420"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1.5</w:t>
            </w:r>
          </w:p>
        </w:tc>
        <w:tc>
          <w:tcPr>
            <w:tcW w:w="175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Passenger car</w:t>
            </w:r>
          </w:p>
        </w:tc>
        <w:tc>
          <w:tcPr>
            <w:tcW w:w="78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trips</w:t>
            </w:r>
          </w:p>
        </w:tc>
        <w:tc>
          <w:tcPr>
            <w:tcW w:w="804"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3,550</w:t>
            </w:r>
          </w:p>
        </w:tc>
        <w:tc>
          <w:tcPr>
            <w:tcW w:w="1229"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420"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w:t>
            </w:r>
          </w:p>
        </w:tc>
        <w:tc>
          <w:tcPr>
            <w:tcW w:w="175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Total revenue</w:t>
            </w:r>
          </w:p>
        </w:tc>
        <w:tc>
          <w:tcPr>
            <w:tcW w:w="78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Million VND</w:t>
            </w:r>
          </w:p>
        </w:tc>
        <w:tc>
          <w:tcPr>
            <w:tcW w:w="804"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49,648</w:t>
            </w:r>
          </w:p>
        </w:tc>
        <w:tc>
          <w:tcPr>
            <w:tcW w:w="1229"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420"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w:t>
            </w:r>
          </w:p>
        </w:tc>
        <w:tc>
          <w:tcPr>
            <w:tcW w:w="175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Profit before tax</w:t>
            </w:r>
          </w:p>
        </w:tc>
        <w:tc>
          <w:tcPr>
            <w:tcW w:w="78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Million VND</w:t>
            </w:r>
          </w:p>
        </w:tc>
        <w:tc>
          <w:tcPr>
            <w:tcW w:w="804"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480</w:t>
            </w:r>
          </w:p>
        </w:tc>
        <w:tc>
          <w:tcPr>
            <w:tcW w:w="1229"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420"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w:t>
            </w:r>
          </w:p>
        </w:tc>
        <w:tc>
          <w:tcPr>
            <w:tcW w:w="175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Profit after tax</w:t>
            </w:r>
          </w:p>
        </w:tc>
        <w:tc>
          <w:tcPr>
            <w:tcW w:w="78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Million VND</w:t>
            </w:r>
          </w:p>
        </w:tc>
        <w:tc>
          <w:tcPr>
            <w:tcW w:w="804"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-122</w:t>
            </w:r>
          </w:p>
        </w:tc>
        <w:tc>
          <w:tcPr>
            <w:tcW w:w="1229"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420"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w:t>
            </w:r>
          </w:p>
        </w:tc>
        <w:tc>
          <w:tcPr>
            <w:tcW w:w="175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Rate of profit after tax/owner's equity:</w:t>
            </w:r>
          </w:p>
        </w:tc>
        <w:tc>
          <w:tcPr>
            <w:tcW w:w="78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w:t>
            </w:r>
          </w:p>
        </w:tc>
        <w:tc>
          <w:tcPr>
            <w:tcW w:w="804"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-0.43</w:t>
            </w:r>
          </w:p>
        </w:tc>
        <w:tc>
          <w:tcPr>
            <w:tcW w:w="1229"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420"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6</w:t>
            </w:r>
          </w:p>
        </w:tc>
        <w:tc>
          <w:tcPr>
            <w:tcW w:w="175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Payable to state budget</w:t>
            </w:r>
          </w:p>
        </w:tc>
        <w:tc>
          <w:tcPr>
            <w:tcW w:w="78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Million VND</w:t>
            </w:r>
          </w:p>
        </w:tc>
        <w:tc>
          <w:tcPr>
            <w:tcW w:w="804"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2,393</w:t>
            </w:r>
          </w:p>
        </w:tc>
        <w:tc>
          <w:tcPr>
            <w:tcW w:w="1229"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420"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7</w:t>
            </w:r>
          </w:p>
        </w:tc>
        <w:tc>
          <w:tcPr>
            <w:tcW w:w="1757"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Dividend payment rate:</w:t>
            </w:r>
          </w:p>
        </w:tc>
        <w:tc>
          <w:tcPr>
            <w:tcW w:w="789"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w:t>
            </w:r>
          </w:p>
        </w:tc>
        <w:tc>
          <w:tcPr>
            <w:tcW w:w="804"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0</w:t>
            </w:r>
          </w:p>
        </w:tc>
        <w:tc>
          <w:tcPr>
            <w:tcW w:w="1229"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bl>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(The Production and Business Plan 2024 of VICEM in general and the Company in particular has been reported by VICEM and proposed to the Ministry of Construction for approval as prescribed; after the Ministry of Construction's approval, if there are changes, it will be adjusted later)</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3. Approve the Report on activities of the Board of Directors of 2023 and the operational plan for 2024;</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4. Approve the Report on activities of the Board of Directors in 2023 and the plan for 2024.</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5. Approve the Report of the independent members of the Board of Directors.</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6. Approve the Proposal on the 2023 audited Financial Statements according to the contents of Proposal No. 16/</w:t>
      </w:r>
      <w:proofErr w:type="spellStart"/>
      <w:r>
        <w:rPr>
          <w:rFonts w:ascii="Arial" w:hAnsi="Arial"/>
          <w:sz w:val="20"/>
        </w:rPr>
        <w:t>TTr</w:t>
      </w:r>
      <w:proofErr w:type="spellEnd"/>
      <w:r>
        <w:rPr>
          <w:rFonts w:ascii="Arial" w:hAnsi="Arial"/>
          <w:sz w:val="20"/>
        </w:rPr>
        <w:t>-HDQT, in which an excerpt from the proposal is as follows: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0"/>
        <w:gridCol w:w="3682"/>
        <w:gridCol w:w="1091"/>
        <w:gridCol w:w="1917"/>
        <w:gridCol w:w="1776"/>
      </w:tblGrid>
      <w:tr w:rsidR="00892832" w:rsidRPr="00D54D8C" w:rsidTr="00D54D8C">
        <w:tc>
          <w:tcPr>
            <w:tcW w:w="3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2042"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w:t>
            </w:r>
          </w:p>
        </w:tc>
        <w:tc>
          <w:tcPr>
            <w:tcW w:w="6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Unit</w:t>
            </w:r>
          </w:p>
        </w:tc>
        <w:tc>
          <w:tcPr>
            <w:tcW w:w="106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Value</w:t>
            </w:r>
          </w:p>
        </w:tc>
        <w:tc>
          <w:tcPr>
            <w:tcW w:w="98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Note</w:t>
            </w:r>
          </w:p>
        </w:tc>
      </w:tr>
      <w:tr w:rsidR="00892832" w:rsidRPr="00D54D8C" w:rsidTr="00D54D8C">
        <w:tc>
          <w:tcPr>
            <w:tcW w:w="3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w:t>
            </w:r>
          </w:p>
        </w:tc>
        <w:tc>
          <w:tcPr>
            <w:tcW w:w="2042"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Total assets</w:t>
            </w:r>
          </w:p>
        </w:tc>
        <w:tc>
          <w:tcPr>
            <w:tcW w:w="6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VND</w:t>
            </w:r>
          </w:p>
        </w:tc>
        <w:tc>
          <w:tcPr>
            <w:tcW w:w="106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43,337,880,916</w:t>
            </w:r>
          </w:p>
        </w:tc>
        <w:tc>
          <w:tcPr>
            <w:tcW w:w="985"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3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w:t>
            </w:r>
          </w:p>
        </w:tc>
        <w:tc>
          <w:tcPr>
            <w:tcW w:w="2042"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Payables</w:t>
            </w:r>
          </w:p>
        </w:tc>
        <w:tc>
          <w:tcPr>
            <w:tcW w:w="6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VND</w:t>
            </w:r>
          </w:p>
        </w:tc>
        <w:tc>
          <w:tcPr>
            <w:tcW w:w="106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4,896,021,471</w:t>
            </w:r>
          </w:p>
        </w:tc>
        <w:tc>
          <w:tcPr>
            <w:tcW w:w="985"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3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w:t>
            </w:r>
          </w:p>
        </w:tc>
        <w:tc>
          <w:tcPr>
            <w:tcW w:w="2042"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Owners’ equity</w:t>
            </w:r>
          </w:p>
        </w:tc>
        <w:tc>
          <w:tcPr>
            <w:tcW w:w="6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VND</w:t>
            </w:r>
          </w:p>
        </w:tc>
        <w:tc>
          <w:tcPr>
            <w:tcW w:w="106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38,441,859,445</w:t>
            </w:r>
          </w:p>
        </w:tc>
        <w:tc>
          <w:tcPr>
            <w:tcW w:w="985"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3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w:t>
            </w:r>
          </w:p>
        </w:tc>
        <w:tc>
          <w:tcPr>
            <w:tcW w:w="2042"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Owner's investment capital</w:t>
            </w:r>
          </w:p>
        </w:tc>
        <w:tc>
          <w:tcPr>
            <w:tcW w:w="6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VND</w:t>
            </w:r>
          </w:p>
        </w:tc>
        <w:tc>
          <w:tcPr>
            <w:tcW w:w="106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20,163,850,000</w:t>
            </w:r>
          </w:p>
        </w:tc>
        <w:tc>
          <w:tcPr>
            <w:tcW w:w="985"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3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w:t>
            </w:r>
          </w:p>
        </w:tc>
        <w:tc>
          <w:tcPr>
            <w:tcW w:w="2042"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Total revenue and other incomes</w:t>
            </w:r>
          </w:p>
        </w:tc>
        <w:tc>
          <w:tcPr>
            <w:tcW w:w="6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VND</w:t>
            </w:r>
          </w:p>
        </w:tc>
        <w:tc>
          <w:tcPr>
            <w:tcW w:w="106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57,524,414,331</w:t>
            </w:r>
          </w:p>
        </w:tc>
        <w:tc>
          <w:tcPr>
            <w:tcW w:w="985"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3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6</w:t>
            </w:r>
          </w:p>
        </w:tc>
        <w:tc>
          <w:tcPr>
            <w:tcW w:w="2042"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Total expenses</w:t>
            </w:r>
          </w:p>
        </w:tc>
        <w:tc>
          <w:tcPr>
            <w:tcW w:w="6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VND</w:t>
            </w:r>
          </w:p>
        </w:tc>
        <w:tc>
          <w:tcPr>
            <w:tcW w:w="106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59,277,293,096</w:t>
            </w:r>
          </w:p>
        </w:tc>
        <w:tc>
          <w:tcPr>
            <w:tcW w:w="985"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3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7</w:t>
            </w:r>
          </w:p>
        </w:tc>
        <w:tc>
          <w:tcPr>
            <w:tcW w:w="2042"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Profit before tax</w:t>
            </w:r>
          </w:p>
        </w:tc>
        <w:tc>
          <w:tcPr>
            <w:tcW w:w="6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VND</w:t>
            </w:r>
          </w:p>
        </w:tc>
        <w:tc>
          <w:tcPr>
            <w:tcW w:w="106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-1,752,878,765</w:t>
            </w:r>
          </w:p>
        </w:tc>
        <w:tc>
          <w:tcPr>
            <w:tcW w:w="985"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3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8</w:t>
            </w:r>
          </w:p>
        </w:tc>
        <w:tc>
          <w:tcPr>
            <w:tcW w:w="2042"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Profit after tax</w:t>
            </w:r>
          </w:p>
        </w:tc>
        <w:tc>
          <w:tcPr>
            <w:tcW w:w="6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VND</w:t>
            </w:r>
          </w:p>
        </w:tc>
        <w:tc>
          <w:tcPr>
            <w:tcW w:w="106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 -1,752,878,765</w:t>
            </w:r>
          </w:p>
        </w:tc>
        <w:tc>
          <w:tcPr>
            <w:tcW w:w="985"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r w:rsidR="00892832" w:rsidRPr="00D54D8C" w:rsidTr="00D54D8C">
        <w:tc>
          <w:tcPr>
            <w:tcW w:w="3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9</w:t>
            </w:r>
          </w:p>
        </w:tc>
        <w:tc>
          <w:tcPr>
            <w:tcW w:w="2042"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Basic </w:t>
            </w:r>
            <w:proofErr w:type="spellStart"/>
            <w:r>
              <w:rPr>
                <w:rFonts w:ascii="Arial" w:hAnsi="Arial"/>
                <w:sz w:val="20"/>
              </w:rPr>
              <w:t>earning</w:t>
            </w:r>
            <w:proofErr w:type="spellEnd"/>
            <w:r>
              <w:rPr>
                <w:rFonts w:ascii="Arial" w:hAnsi="Arial"/>
                <w:sz w:val="20"/>
              </w:rPr>
              <w:t xml:space="preserve"> per share</w:t>
            </w:r>
          </w:p>
        </w:tc>
        <w:tc>
          <w:tcPr>
            <w:tcW w:w="605"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VND</w:t>
            </w:r>
          </w:p>
        </w:tc>
        <w:tc>
          <w:tcPr>
            <w:tcW w:w="1063" w:type="pct"/>
            <w:shd w:val="clear" w:color="auto" w:fill="auto"/>
            <w:tcMar>
              <w:top w:w="0" w:type="dxa"/>
              <w:bottom w:w="0" w:type="dxa"/>
            </w:tcMar>
            <w:vAlign w:val="center"/>
          </w:tcPr>
          <w:p w:rsidR="00892832" w:rsidRPr="00D54D8C" w:rsidRDefault="001B3621" w:rsidP="00D54D8C">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-869</w:t>
            </w:r>
          </w:p>
        </w:tc>
        <w:tc>
          <w:tcPr>
            <w:tcW w:w="985" w:type="pct"/>
            <w:shd w:val="clear" w:color="auto" w:fill="auto"/>
            <w:tcMar>
              <w:top w:w="0" w:type="dxa"/>
              <w:bottom w:w="0" w:type="dxa"/>
            </w:tcMar>
            <w:vAlign w:val="center"/>
          </w:tcPr>
          <w:p w:rsidR="00892832" w:rsidRPr="00D54D8C" w:rsidRDefault="00892832" w:rsidP="00D54D8C">
            <w:pPr>
              <w:spacing w:after="120" w:line="360" w:lineRule="auto"/>
              <w:jc w:val="center"/>
              <w:rPr>
                <w:rFonts w:ascii="Arial" w:eastAsia="Arial" w:hAnsi="Arial" w:cs="Arial"/>
                <w:sz w:val="20"/>
                <w:szCs w:val="20"/>
              </w:rPr>
            </w:pPr>
          </w:p>
        </w:tc>
      </w:tr>
    </w:tbl>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color w:val="C82541"/>
          <w:sz w:val="20"/>
        </w:rPr>
        <w:t xml:space="preserve"> </w:t>
      </w:r>
      <w:r>
        <w:rPr>
          <w:rFonts w:ascii="Arial" w:hAnsi="Arial"/>
          <w:sz w:val="20"/>
        </w:rPr>
        <w:t>‎‎Article 7. Approve the Proposal on the 2023 Profit Distribution Plan according to the contents of Proposal No. 17/</w:t>
      </w:r>
      <w:proofErr w:type="spellStart"/>
      <w:r>
        <w:rPr>
          <w:rFonts w:ascii="Arial" w:hAnsi="Arial"/>
          <w:sz w:val="20"/>
        </w:rPr>
        <w:t>TTr</w:t>
      </w:r>
      <w:proofErr w:type="spellEnd"/>
      <w:r>
        <w:rPr>
          <w:rFonts w:ascii="Arial" w:hAnsi="Arial"/>
          <w:sz w:val="20"/>
        </w:rPr>
        <w:t>-HDQT, in which an excerpt from the proposal is as follows:</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The Company's undistributed profit after tax as of December 31, 2022 is VND 0. In 2023, the Company's </w:t>
      </w:r>
      <w:r>
        <w:rPr>
          <w:rFonts w:ascii="Arial" w:hAnsi="Arial"/>
          <w:sz w:val="20"/>
        </w:rPr>
        <w:lastRenderedPageBreak/>
        <w:t>profit after tax is: VND 1,752.879 million;</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The Company's accumulated loss as of December 31, 2023 is:  - VND 1,752.879 million</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8. Approve the Proposal on remuneration for the Board of Directors, Supervisory Board, person in charge of Corporate Governance -cum- Secretariat of Company in 2023 and the Remuneration Plan 2024 according to the contents of Proposal No. 18/</w:t>
      </w:r>
      <w:proofErr w:type="spellStart"/>
      <w:r>
        <w:rPr>
          <w:rFonts w:ascii="Arial" w:hAnsi="Arial"/>
          <w:sz w:val="20"/>
        </w:rPr>
        <w:t>TTr</w:t>
      </w:r>
      <w:proofErr w:type="spellEnd"/>
      <w:r>
        <w:rPr>
          <w:rFonts w:ascii="Arial" w:hAnsi="Arial"/>
          <w:sz w:val="20"/>
        </w:rPr>
        <w:t>-HDQT.</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9. Approve the Proposal on selecting the audit company for the 2024 Financial Statements according to the contents of Proposal No. 19/</w:t>
      </w:r>
      <w:proofErr w:type="spellStart"/>
      <w:r>
        <w:rPr>
          <w:rFonts w:ascii="Arial" w:hAnsi="Arial"/>
          <w:sz w:val="20"/>
        </w:rPr>
        <w:t>TTr</w:t>
      </w:r>
      <w:proofErr w:type="spellEnd"/>
      <w:r>
        <w:rPr>
          <w:rFonts w:ascii="Arial" w:hAnsi="Arial"/>
          <w:sz w:val="20"/>
        </w:rPr>
        <w:t>-BKS.</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10. Approve the Proposal on approving the signing and implementation of contracts under the authority of the General Meeting of Shareholders according to the contents of Proposal No. 20/</w:t>
      </w:r>
      <w:proofErr w:type="spellStart"/>
      <w:r>
        <w:rPr>
          <w:rFonts w:ascii="Arial" w:hAnsi="Arial"/>
          <w:sz w:val="20"/>
        </w:rPr>
        <w:t>TTr</w:t>
      </w:r>
      <w:proofErr w:type="spellEnd"/>
      <w:r>
        <w:rPr>
          <w:rFonts w:ascii="Arial" w:hAnsi="Arial"/>
          <w:sz w:val="20"/>
        </w:rPr>
        <w:t>-HDQT.</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This General Mandate was unanimously approved by the General Meeting of Shareholders of Hai </w:t>
      </w:r>
      <w:proofErr w:type="spellStart"/>
      <w:r>
        <w:rPr>
          <w:rFonts w:ascii="Arial" w:hAnsi="Arial"/>
          <w:sz w:val="20"/>
        </w:rPr>
        <w:t>Phong</w:t>
      </w:r>
      <w:proofErr w:type="spellEnd"/>
      <w:r>
        <w:rPr>
          <w:rFonts w:ascii="Arial" w:hAnsi="Arial"/>
          <w:sz w:val="20"/>
        </w:rPr>
        <w:t xml:space="preserve"> Cement Transport and Trading JSC in its entirety at the Annual General Meeting of Shareholders 2024 and takes effect from April 26, 2024.</w:t>
      </w:r>
    </w:p>
    <w:p w:rsidR="00892832" w:rsidRPr="00D54D8C" w:rsidRDefault="001B3621" w:rsidP="00DE2A4B">
      <w:pPr>
        <w:pBdr>
          <w:top w:val="nil"/>
          <w:left w:val="nil"/>
          <w:bottom w:val="nil"/>
          <w:right w:val="nil"/>
          <w:between w:val="nil"/>
        </w:pBdr>
        <w:spacing w:after="120" w:line="360" w:lineRule="auto"/>
        <w:jc w:val="both"/>
        <w:rPr>
          <w:rFonts w:ascii="Arial" w:eastAsia="Arial" w:hAnsi="Arial" w:cs="Arial"/>
          <w:sz w:val="20"/>
          <w:szCs w:val="20"/>
        </w:rPr>
        <w:sectPr w:rsidR="00892832" w:rsidRPr="00D54D8C" w:rsidSect="00D54D8C">
          <w:pgSz w:w="11906" w:h="16838"/>
          <w:pgMar w:top="1440" w:right="1440" w:bottom="1440" w:left="1440" w:header="0" w:footer="3" w:gutter="0"/>
          <w:pgNumType w:start="1"/>
          <w:cols w:space="720"/>
          <w:docGrid w:linePitch="326"/>
        </w:sectPr>
      </w:pPr>
      <w:r>
        <w:rPr>
          <w:rFonts w:ascii="Arial" w:hAnsi="Arial"/>
          <w:sz w:val="20"/>
        </w:rPr>
        <w:t xml:space="preserve">The Board of Directors, Supervisory Board, Board of Managers, all shareholders of Hai </w:t>
      </w:r>
      <w:proofErr w:type="spellStart"/>
      <w:r>
        <w:rPr>
          <w:rFonts w:ascii="Arial" w:hAnsi="Arial"/>
          <w:sz w:val="20"/>
        </w:rPr>
        <w:t>Phong</w:t>
      </w:r>
      <w:proofErr w:type="spellEnd"/>
      <w:r>
        <w:rPr>
          <w:rFonts w:ascii="Arial" w:hAnsi="Arial"/>
          <w:sz w:val="20"/>
        </w:rPr>
        <w:t xml:space="preserve"> Cement Transport and Trading JSC and related departments/units and individuals are responsible for implementing this General Mandate.</w:t>
      </w:r>
    </w:p>
    <w:p w:rsidR="00892832" w:rsidRPr="00D54D8C" w:rsidRDefault="00892832" w:rsidP="00DE2A4B">
      <w:pPr>
        <w:pBdr>
          <w:top w:val="nil"/>
          <w:left w:val="nil"/>
          <w:bottom w:val="nil"/>
          <w:right w:val="nil"/>
          <w:between w:val="nil"/>
        </w:pBdr>
        <w:spacing w:after="120" w:line="360" w:lineRule="auto"/>
        <w:jc w:val="both"/>
        <w:rPr>
          <w:rFonts w:ascii="Arial" w:eastAsia="Arial" w:hAnsi="Arial" w:cs="Arial"/>
          <w:color w:val="C82541"/>
          <w:sz w:val="20"/>
          <w:szCs w:val="20"/>
        </w:rPr>
      </w:pPr>
      <w:bookmarkStart w:id="0" w:name="_GoBack"/>
      <w:bookmarkEnd w:id="0"/>
    </w:p>
    <w:sectPr w:rsidR="00892832" w:rsidRPr="00D54D8C" w:rsidSect="00D54D8C">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23F62"/>
    <w:multiLevelType w:val="multilevel"/>
    <w:tmpl w:val="9D44CDC0"/>
    <w:lvl w:ilvl="0">
      <w:start w:val="2"/>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32"/>
    <w:rsid w:val="001B3621"/>
    <w:rsid w:val="00892832"/>
    <w:rsid w:val="00D54D8C"/>
    <w:rsid w:val="00DE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34E792-1225-4E43-861B-57DF6544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11"/>
      <w:szCs w:val="11"/>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C82541"/>
      <w:sz w:val="17"/>
      <w:szCs w:val="17"/>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C82541"/>
      <w:w w:val="60"/>
      <w:sz w:val="19"/>
      <w:szCs w:val="19"/>
      <w:u w:val="none"/>
      <w:shd w:val="clear" w:color="auto" w:fill="auto"/>
    </w:rPr>
  </w:style>
  <w:style w:type="paragraph" w:styleId="BodyText">
    <w:name w:val="Body Text"/>
    <w:basedOn w:val="Normal"/>
    <w:link w:val="BodyTextChar"/>
    <w:qFormat/>
    <w:pPr>
      <w:spacing w:line="266"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Heading11">
    <w:name w:val="Heading #1"/>
    <w:basedOn w:val="Normal"/>
    <w:link w:val="Heading10"/>
    <w:pPr>
      <w:jc w:val="center"/>
      <w:outlineLvl w:val="0"/>
    </w:pPr>
    <w:rPr>
      <w:rFonts w:ascii="Times New Roman" w:eastAsia="Times New Roman" w:hAnsi="Times New Roman" w:cs="Times New Roman"/>
      <w:sz w:val="32"/>
      <w:szCs w:val="32"/>
    </w:rPr>
  </w:style>
  <w:style w:type="paragraph" w:customStyle="1" w:styleId="Tablecaption0">
    <w:name w:val="Table caption"/>
    <w:basedOn w:val="Normal"/>
    <w:link w:val="Tablecaption"/>
    <w:rPr>
      <w:rFonts w:ascii="Times New Roman" w:eastAsia="Times New Roman" w:hAnsi="Times New Roman" w:cs="Times New Roman"/>
      <w:i/>
      <w:iCs/>
      <w:sz w:val="11"/>
      <w:szCs w:val="11"/>
    </w:rPr>
  </w:style>
  <w:style w:type="paragraph" w:customStyle="1" w:styleId="Other0">
    <w:name w:val="Other"/>
    <w:basedOn w:val="Normal"/>
    <w:link w:val="Other"/>
    <w:pPr>
      <w:spacing w:line="266" w:lineRule="auto"/>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spacing w:line="262" w:lineRule="auto"/>
      <w:ind w:left="4850" w:firstLine="20"/>
    </w:pPr>
    <w:rPr>
      <w:rFonts w:ascii="Arial" w:eastAsia="Arial" w:hAnsi="Arial" w:cs="Arial"/>
      <w:color w:val="C82541"/>
      <w:sz w:val="17"/>
      <w:szCs w:val="17"/>
    </w:rPr>
  </w:style>
  <w:style w:type="paragraph" w:customStyle="1" w:styleId="Bodytext30">
    <w:name w:val="Body text (3)"/>
    <w:basedOn w:val="Normal"/>
    <w:link w:val="Bodytext3"/>
    <w:pPr>
      <w:spacing w:line="270" w:lineRule="exact"/>
    </w:pPr>
    <w:rPr>
      <w:rFonts w:ascii="Arial" w:eastAsia="Arial" w:hAnsi="Arial" w:cs="Arial"/>
      <w:b/>
      <w:bCs/>
      <w:color w:val="C82541"/>
      <w:w w:val="60"/>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reJdVjanRrWVyykzckTIUqPEA==">CgMxLjA4AHIhMVNCS3NOSDRjRHBrLXBSSEoyZ3ZJUzUwd3Z5UVhyaklm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3592</Characters>
  <Application>Microsoft Office Word</Application>
  <DocSecurity>0</DocSecurity>
  <Lines>29</Lines>
  <Paragraphs>8</Paragraphs>
  <ScaleCrop>false</ScaleCrop>
  <Company>Microsoft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2024-05-06T02:05:00Z</dcterms:created>
  <dcterms:modified xsi:type="dcterms:W3CDTF">2024-05-07T08:11:00Z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7585715a1a72722d78eb9fadd16b0afed178a56ad7e274c1e7e8abcd2c0e164b</vt:lpwstr>
  </property>
</Properties>
</file>