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HFC: Annual General Mandate 2024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April 26, 2024, HFC Petroleum Corporation announced General Mandate No. 21/2024/NQ/HFC-DHDCD as follows: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tabs>
          <w:tab w:val="left" w:pos="94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1. Approve the contents and proposals at the Annual </w:t>
      </w:r>
      <w:r w:rsidR="007329A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2024, specifically as follows:</w:t>
      </w:r>
    </w:p>
    <w:p w:rsidR="00D14135" w:rsidRDefault="00BF083B" w:rsidP="0073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Proposal No. 10/2024/TTT/HFC-HDQT dated April 26, 2024 on approving the Reports of the Board </w:t>
      </w:r>
      <w:r w:rsidR="007329AA">
        <w:rPr>
          <w:rFonts w:ascii="Arial" w:hAnsi="Arial"/>
          <w:color w:val="010000"/>
          <w:sz w:val="20"/>
        </w:rPr>
        <w:t>of Directors, Supervisory Board</w:t>
      </w:r>
      <w:r>
        <w:rPr>
          <w:rFonts w:ascii="Arial" w:hAnsi="Arial"/>
          <w:color w:val="010000"/>
          <w:sz w:val="20"/>
        </w:rPr>
        <w:t xml:space="preserve"> and </w:t>
      </w:r>
      <w:r w:rsidR="007329AA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. </w:t>
      </w:r>
    </w:p>
    <w:p w:rsidR="00D14135" w:rsidRDefault="00BF083B" w:rsidP="0073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Proposal No. 11/2024/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/HFC-HDQT dated April 26, 2024 on approving the production and business plan for 2024:</w:t>
      </w:r>
    </w:p>
    <w:tbl>
      <w:tblPr>
        <w:tblStyle w:val="a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840"/>
        <w:gridCol w:w="1455"/>
        <w:gridCol w:w="1605"/>
        <w:gridCol w:w="1470"/>
      </w:tblGrid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Item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Results 2023 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Plan 2024 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Plan 2024/Results 2023 (%)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Volume (m3)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101,204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99,601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98.41%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Revenue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1,995,732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2,219,392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111.21%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Cost of goods sold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1,894,329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2,111,560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111.47%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Gross Profit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111,929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121,204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108.29%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Gross Profit from petroleum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101,403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107,832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106.34%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Income from real estate leasing and others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10,526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11,613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127.03%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Pr="00BF083B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EXPENSES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106,374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108,958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102.43%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Fixed and regular operating expenses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24,433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32,002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105.69%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Labor costs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35,327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37,755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106.87%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Loan interest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20,123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15,084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74.96%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Marketing expenses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2,639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7,488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245.98%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Purchasing expenses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23,851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16,629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99.80%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Pr="00BF083B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III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JOINT VENTURE EXPENSES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3,015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3,160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104.78%</w:t>
            </w:r>
          </w:p>
        </w:tc>
      </w:tr>
      <w:tr w:rsidR="00D14135">
        <w:tc>
          <w:tcPr>
            <w:tcW w:w="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IV</w:t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PROFIT BEFORE TAX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2,540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9,086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357.74%</w:t>
            </w:r>
          </w:p>
        </w:tc>
      </w:tr>
    </w:tbl>
    <w:p w:rsidR="00D14135" w:rsidRDefault="00BF083B" w:rsidP="0073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Proposal No. 12/2024/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/HFC-HDQT dated April 26, 2024 on approving the audited Financial Statements for 2023.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Company's Financial Statements 2023 were independently audited by CPA Vietnam Auditing Company Limited, signed on March 28, 2024.</w:t>
      </w:r>
    </w:p>
    <w:p w:rsidR="00D14135" w:rsidRDefault="00BF083B" w:rsidP="0073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Proposal No. 13/2024/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 xml:space="preserve">/HFC-HDQT dated April 26, 2024 on Approving the selection </w:t>
      </w:r>
      <w:r>
        <w:rPr>
          <w:rFonts w:ascii="Arial" w:hAnsi="Arial"/>
          <w:color w:val="010000"/>
          <w:sz w:val="20"/>
        </w:rPr>
        <w:lastRenderedPageBreak/>
        <w:t>of an independent audit company for the Financial Statements 2024.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Select an independent audit company CPA Vietnam Auditing Company Limited shall conduct the audit of the company's Financial Statements 2024.</w:t>
      </w:r>
    </w:p>
    <w:p w:rsidR="00D14135" w:rsidRDefault="00BF083B" w:rsidP="0073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Proposal No. 14/2024/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/HFC-HDQT dated April 26, 2024 on Approving the Profit Distribution Plan for 2023.</w:t>
      </w: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1466"/>
        <w:gridCol w:w="3102"/>
      </w:tblGrid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Targets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 (%)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2023 (Unit: VND)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 Profit before tax in 2023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5,555,551,749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 Profit sharing from joint ventures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3,015,600,000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 Corporate income tax payable 2023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  <w:r w:rsidR="007329AA">
              <w:rPr>
                <w:rFonts w:ascii="Arial" w:hAnsi="Arial"/>
                <w:color w:val="010000"/>
                <w:sz w:val="20"/>
              </w:rPr>
              <w:t>,511,985,</w:t>
            </w:r>
            <w:r>
              <w:rPr>
                <w:rFonts w:ascii="Arial" w:hAnsi="Arial"/>
                <w:color w:val="010000"/>
                <w:sz w:val="20"/>
              </w:rPr>
              <w:t>638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Deferred corporate income tax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4. Profit after tax of 2023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27,966,111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 Retained profit of previous years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73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-21,166,</w:t>
            </w:r>
            <w:r w:rsidR="00BF083B">
              <w:rPr>
                <w:rFonts w:ascii="Arial" w:hAnsi="Arial"/>
                <w:color w:val="010000"/>
                <w:sz w:val="20"/>
              </w:rPr>
              <w:t>016,870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 Other increases (deferred tax)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7. Expected source for dividend distribution (4+5-6)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73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-21,138,050,</w:t>
            </w:r>
            <w:r w:rsidR="00BF083B">
              <w:rPr>
                <w:rFonts w:ascii="Arial" w:hAnsi="Arial"/>
                <w:color w:val="010000"/>
                <w:sz w:val="20"/>
              </w:rPr>
              <w:t>759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Proposed dividend payout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8. Interests of non-controlling shareholders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4135">
        <w:tc>
          <w:tcPr>
            <w:tcW w:w="44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 Profit transferred to the next year: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D1413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73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-21,138,</w:t>
            </w:r>
            <w:r w:rsidR="00BF083B">
              <w:rPr>
                <w:rFonts w:ascii="Arial" w:hAnsi="Arial"/>
                <w:color w:val="010000"/>
                <w:sz w:val="20"/>
              </w:rPr>
              <w:t>050,759</w:t>
            </w:r>
          </w:p>
        </w:tc>
      </w:tr>
    </w:tbl>
    <w:p w:rsidR="00D14135" w:rsidRDefault="00BF083B" w:rsidP="0073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 Approve Proposal No. 15/2024/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/HFC-BOD dated April 26, 2024 on approving the total remuneration, bonuses, and operating budget of the Board of Directors and the Supervisory Board.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2671"/>
        <w:gridCol w:w="2990"/>
      </w:tblGrid>
      <w:tr w:rsidR="00D14135">
        <w:tc>
          <w:tcPr>
            <w:tcW w:w="3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remuneration amount:</w:t>
            </w:r>
          </w:p>
        </w:tc>
        <w:tc>
          <w:tcPr>
            <w:tcW w:w="2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Report on remuneration in 2023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Expected remuneration level in 2024</w:t>
            </w:r>
          </w:p>
        </w:tc>
      </w:tr>
      <w:tr w:rsidR="00D14135">
        <w:tc>
          <w:tcPr>
            <w:tcW w:w="335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of Directors and Supervisory Board. Secretariat and Person in charge of information disclosure </w:t>
            </w:r>
          </w:p>
        </w:tc>
        <w:tc>
          <w:tcPr>
            <w:tcW w:w="26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367,000,000</w:t>
            </w:r>
          </w:p>
        </w:tc>
        <w:tc>
          <w:tcPr>
            <w:tcW w:w="29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14135" w:rsidRDefault="00BF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372,000,000</w:t>
            </w:r>
          </w:p>
        </w:tc>
      </w:tr>
    </w:tbl>
    <w:p w:rsidR="00D14135" w:rsidRDefault="00BF083B" w:rsidP="00732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 xml:space="preserve"> Approve Proposal No. 16/2024/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/HFC-BOD dated April 26, 2024 on approving transactions and contracts with related parties.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contracts for purchase, sale, investment, business cooperation with </w:t>
      </w:r>
      <w:proofErr w:type="spellStart"/>
      <w:r>
        <w:rPr>
          <w:rFonts w:ascii="Arial" w:hAnsi="Arial"/>
          <w:color w:val="010000"/>
          <w:sz w:val="20"/>
        </w:rPr>
        <w:t>Petrolimex</w:t>
      </w:r>
      <w:proofErr w:type="spellEnd"/>
      <w:r>
        <w:rPr>
          <w:rFonts w:ascii="Arial" w:hAnsi="Arial"/>
          <w:color w:val="010000"/>
          <w:sz w:val="20"/>
        </w:rPr>
        <w:t xml:space="preserve"> Hanoi Co., Ltd, Thai Minh Petro Company Limited with the total value of contracts and transactions for each company greater than 35% of the total asset value and transactions leading to the total transaction value arising within 12 months from the date of the first transaction having a value of 35% of the total asset value recorded on the latest Financial Statements of HFC Petroleum Corporation.</w:t>
      </w:r>
    </w:p>
    <w:p w:rsidR="00D14135" w:rsidRDefault="00BF083B" w:rsidP="00732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Proposal No. 17/2024/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 xml:space="preserve">/HFC-BOD dated April 26, 2024 on approving the change of </w:t>
      </w:r>
      <w:r>
        <w:rPr>
          <w:rFonts w:ascii="Arial" w:hAnsi="Arial"/>
          <w:color w:val="010000"/>
          <w:sz w:val="20"/>
        </w:rPr>
        <w:lastRenderedPageBreak/>
        <w:t>the company's fiscal year.</w:t>
      </w:r>
    </w:p>
    <w:p w:rsidR="00D14135" w:rsidRDefault="00BF083B" w:rsidP="00732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Current fiscal year being applied: 12 months, from January 1 to December 31 of the calendar year;</w:t>
      </w:r>
    </w:p>
    <w:p w:rsidR="00D14135" w:rsidRDefault="00BF083B" w:rsidP="00732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Proposed fiscal year to be changed to: 12 months, from October 1 to September 30 of the following year;</w:t>
      </w:r>
    </w:p>
    <w:p w:rsidR="00D14135" w:rsidRDefault="00BF083B" w:rsidP="00732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first fiscal year applied after being approved by the </w:t>
      </w:r>
      <w:r w:rsidR="007329A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for conversion starts from January 1, 2024 and ends on September 30, 2024 (9 months).</w:t>
      </w:r>
    </w:p>
    <w:p w:rsidR="00D14135" w:rsidRDefault="00BF083B" w:rsidP="00732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Proposal No. 18/2024/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/HFC-BOD dated April 26, 2024 on approving the address of the Company's head office.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New head office address: No. 233 Kham </w:t>
      </w:r>
      <w:proofErr w:type="spellStart"/>
      <w:r>
        <w:rPr>
          <w:rFonts w:ascii="Arial" w:hAnsi="Arial"/>
          <w:color w:val="010000"/>
          <w:sz w:val="20"/>
        </w:rPr>
        <w:t>Thien</w:t>
      </w:r>
      <w:proofErr w:type="spellEnd"/>
      <w:r>
        <w:rPr>
          <w:rFonts w:ascii="Arial" w:hAnsi="Arial"/>
          <w:color w:val="010000"/>
          <w:sz w:val="20"/>
        </w:rPr>
        <w:t xml:space="preserve">, </w:t>
      </w:r>
      <w:proofErr w:type="spellStart"/>
      <w:r>
        <w:rPr>
          <w:rFonts w:ascii="Arial" w:hAnsi="Arial"/>
          <w:color w:val="010000"/>
          <w:sz w:val="20"/>
        </w:rPr>
        <w:t>Tho</w:t>
      </w:r>
      <w:proofErr w:type="spellEnd"/>
      <w:r>
        <w:rPr>
          <w:rFonts w:ascii="Arial" w:hAnsi="Arial"/>
          <w:color w:val="010000"/>
          <w:sz w:val="20"/>
        </w:rPr>
        <w:t xml:space="preserve"> Quan Ward, Dong Da District, Hanoi City, Vietnam.</w:t>
      </w:r>
    </w:p>
    <w:p w:rsidR="00D14135" w:rsidRDefault="00BF083B" w:rsidP="00732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Approve Proposal No. 19/2024/</w:t>
      </w:r>
      <w:proofErr w:type="spellStart"/>
      <w:r>
        <w:rPr>
          <w:rFonts w:ascii="Arial" w:hAnsi="Arial"/>
          <w:color w:val="010000"/>
          <w:sz w:val="20"/>
        </w:rPr>
        <w:t>TTr</w:t>
      </w:r>
      <w:proofErr w:type="spellEnd"/>
      <w:r>
        <w:rPr>
          <w:rFonts w:ascii="Arial" w:hAnsi="Arial"/>
          <w:color w:val="010000"/>
          <w:sz w:val="20"/>
        </w:rPr>
        <w:t>/HFC-BOD dated April 26, 2024 on approving amendments to the Company's Charter.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This General Mandate was approved in its entirety by the Annual </w:t>
      </w:r>
      <w:r w:rsidR="007329A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2024 of HFC Petroleum Corporation and takes effect from the date of signing.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Board of Directors and </w:t>
      </w:r>
      <w:r w:rsidR="007329AA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 of HFC Petroleum Corporation are responsible for monitoring, urging and organizing the implementation of the General Mandate </w:t>
      </w:r>
      <w:r w:rsidR="007329AA">
        <w:rPr>
          <w:rFonts w:ascii="Arial" w:hAnsi="Arial"/>
          <w:color w:val="010000"/>
          <w:sz w:val="20"/>
        </w:rPr>
        <w:t>under applicable laws</w:t>
      </w:r>
      <w:bookmarkStart w:id="1" w:name="_GoBack"/>
      <w:bookmarkEnd w:id="1"/>
      <w:r>
        <w:rPr>
          <w:rFonts w:ascii="Arial" w:hAnsi="Arial"/>
          <w:color w:val="010000"/>
          <w:sz w:val="20"/>
        </w:rPr>
        <w:t xml:space="preserve"> and the Charter on organization and operation</w:t>
      </w:r>
      <w:r w:rsidR="007329AA">
        <w:rPr>
          <w:rFonts w:ascii="Arial" w:hAnsi="Arial"/>
          <w:color w:val="010000"/>
          <w:sz w:val="20"/>
        </w:rPr>
        <w:t>s</w:t>
      </w:r>
      <w:r>
        <w:rPr>
          <w:rFonts w:ascii="Arial" w:hAnsi="Arial"/>
          <w:color w:val="010000"/>
          <w:sz w:val="20"/>
        </w:rPr>
        <w:t xml:space="preserve"> of the Company.</w:t>
      </w:r>
    </w:p>
    <w:p w:rsidR="00D14135" w:rsidRDefault="00BF083B" w:rsidP="007329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The </w:t>
      </w:r>
      <w:r w:rsidR="007329AA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assigns the Supervisory Board of HFC Petroleum Corporation to supervise and inspect the activities of the Board of Directors and </w:t>
      </w:r>
      <w:r w:rsidR="007329AA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 xml:space="preserve"> of the Company in implementing the General Mandate </w:t>
      </w:r>
      <w:r w:rsidR="007329AA">
        <w:rPr>
          <w:rFonts w:ascii="Arial" w:hAnsi="Arial"/>
          <w:color w:val="010000"/>
          <w:sz w:val="20"/>
        </w:rPr>
        <w:t>under applicable laws</w:t>
      </w:r>
      <w:r>
        <w:rPr>
          <w:rFonts w:ascii="Arial" w:hAnsi="Arial"/>
          <w:color w:val="010000"/>
          <w:sz w:val="20"/>
        </w:rPr>
        <w:t xml:space="preserve"> and the Company's Charter.</w:t>
      </w:r>
    </w:p>
    <w:p w:rsidR="00D14135" w:rsidRDefault="00D14135" w:rsidP="007329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:rsidR="00D14135" w:rsidRDefault="00D14135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14135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471"/>
    <w:multiLevelType w:val="multilevel"/>
    <w:tmpl w:val="02DCF3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402A78"/>
    <w:multiLevelType w:val="multilevel"/>
    <w:tmpl w:val="D3B433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A3533A"/>
    <w:multiLevelType w:val="multilevel"/>
    <w:tmpl w:val="3EFA73D6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5"/>
    <w:rsid w:val="007329AA"/>
    <w:rsid w:val="00BF083B"/>
    <w:rsid w:val="00D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CD87C"/>
  <w15:docId w15:val="{D0630E0A-12A7-4301-9E2F-B7A3F6BE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2B34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D586F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CD586F"/>
      <w:w w:val="6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D586F"/>
      <w:w w:val="5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3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D2B34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line="286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Other0">
    <w:name w:val="Other"/>
    <w:basedOn w:val="Normal"/>
    <w:link w:val="Other"/>
    <w:pPr>
      <w:spacing w:line="300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298" w:lineRule="auto"/>
      <w:ind w:firstLine="2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CD586F"/>
      <w:sz w:val="19"/>
      <w:szCs w:val="19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b/>
      <w:bCs/>
      <w:color w:val="CD586F"/>
      <w:w w:val="60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D586F"/>
      <w:w w:val="50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Vy0vJLxzER8l7B5sHR7czwgNjA==">CgMxLjAyCGguZ2pkZ3hzOAByITFodl9xMGlLMDczY3BZVUM0U0pjaEV5Q1hSOVJ3d3R0dg==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2024-05-07T04:28:00Z</dcterms:created>
  <dcterms:modified xsi:type="dcterms:W3CDTF">2024-05-07T04:28:00Z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d7b1da5be171858ed8701ed2b87794bd997886cd23b6336733f2306153de80cb</vt:lpwstr>
  </property>
</Properties>
</file>