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>HLB: Annual General Mandate 2024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25, 2024, </w:t>
      </w:r>
      <w:proofErr w:type="spellStart"/>
      <w:r>
        <w:rPr>
          <w:rFonts w:ascii="Arial" w:hAnsi="Arial"/>
          <w:color w:val="010000"/>
          <w:sz w:val="20"/>
        </w:rPr>
        <w:t>Halong</w:t>
      </w:r>
      <w:proofErr w:type="spellEnd"/>
      <w:r>
        <w:rPr>
          <w:rFonts w:ascii="Arial" w:hAnsi="Arial"/>
          <w:color w:val="010000"/>
          <w:sz w:val="20"/>
        </w:rPr>
        <w:t xml:space="preserve"> Beer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Beverage Joint Stock Company announced General Mandate No. 408/NQ-DHDCD as follows: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following contents:</w:t>
      </w:r>
    </w:p>
    <w:p w:rsidR="009B446E" w:rsidRPr="00BB622E" w:rsidRDefault="00BB622E" w:rsidP="008B7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approved the Report on production, consumption, and investment results in 2023 and the p</w:t>
      </w:r>
      <w:r w:rsidR="008B7687">
        <w:rPr>
          <w:rFonts w:ascii="Arial" w:hAnsi="Arial"/>
          <w:color w:val="010000"/>
          <w:sz w:val="20"/>
        </w:rPr>
        <w:t>lan for production, consumption</w:t>
      </w:r>
      <w:r>
        <w:rPr>
          <w:rFonts w:ascii="Arial" w:hAnsi="Arial"/>
          <w:color w:val="010000"/>
          <w:sz w:val="20"/>
        </w:rPr>
        <w:t xml:space="preserve"> and investment in 2024. </w:t>
      </w:r>
    </w:p>
    <w:p w:rsidR="009B446E" w:rsidRPr="00BB622E" w:rsidRDefault="00BB622E" w:rsidP="00BB62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consumption results in 2023: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628"/>
        <w:gridCol w:w="2233"/>
        <w:gridCol w:w="1303"/>
        <w:gridCol w:w="1305"/>
        <w:gridCol w:w="1143"/>
        <w:gridCol w:w="1319"/>
        <w:gridCol w:w="1086"/>
      </w:tblGrid>
      <w:tr w:rsidR="009B446E" w:rsidRPr="00BB622E" w:rsidTr="00BB622E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2057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2022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% compared to that of the same period last year (%)</w:t>
            </w:r>
          </w:p>
        </w:tc>
      </w:tr>
      <w:tr w:rsidR="009B446E" w:rsidRPr="00BB622E" w:rsidTr="00BB622E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9B446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9B446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Results/Plan (%)</w:t>
            </w:r>
          </w:p>
        </w:tc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9B446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9B446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B446E" w:rsidRPr="00BB622E" w:rsidTr="00BB622E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9B446E" w:rsidP="00BB622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output (liters)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82,000,000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</w:t>
            </w:r>
            <w:r w:rsidR="008B7687">
              <w:rPr>
                <w:rFonts w:ascii="Arial" w:hAnsi="Arial"/>
                <w:color w:val="010000"/>
                <w:sz w:val="20"/>
              </w:rPr>
              <w:t>,308,</w:t>
            </w:r>
            <w:r>
              <w:rPr>
                <w:rFonts w:ascii="Arial" w:hAnsi="Arial"/>
                <w:color w:val="010000"/>
                <w:sz w:val="20"/>
              </w:rPr>
              <w:t>047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86.96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71,627,088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9935</w:t>
            </w:r>
          </w:p>
        </w:tc>
      </w:tr>
    </w:tbl>
    <w:p w:rsidR="009B446E" w:rsidRPr="00BB622E" w:rsidRDefault="00BB622E" w:rsidP="00BB62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consumption plan for 2024: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9"/>
        <w:gridCol w:w="4234"/>
        <w:gridCol w:w="1039"/>
        <w:gridCol w:w="2705"/>
      </w:tblGrid>
      <w:tr w:rsidR="009B446E" w:rsidRPr="00BB622E" w:rsidTr="00BB622E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Output (liters)</w:t>
            </w:r>
          </w:p>
        </w:tc>
      </w:tr>
      <w:tr w:rsidR="009B446E" w:rsidRPr="00BB622E" w:rsidTr="00BB622E"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9B446E" w:rsidP="00BB622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output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Liter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B446E" w:rsidRPr="00BB622E" w:rsidRDefault="00BB622E" w:rsidP="00BB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</w:t>
            </w:r>
            <w:r w:rsidR="008B7687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  <w:r w:rsidR="008B7687">
              <w:rPr>
                <w:rFonts w:ascii="Arial" w:hAnsi="Arial"/>
                <w:color w:val="010000"/>
                <w:sz w:val="20"/>
              </w:rPr>
              <w:t>,</w:t>
            </w:r>
            <w:r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</w:tbl>
    <w:p w:rsidR="009B446E" w:rsidRPr="00BB622E" w:rsidRDefault="00BB622E" w:rsidP="008B7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The General Meeting approved the Proposal on the Financial Statement and Profit Distribution Plan in 2023.</w:t>
      </w:r>
    </w:p>
    <w:p w:rsidR="009B446E" w:rsidRPr="00BB622E" w:rsidRDefault="00BB622E" w:rsidP="008B76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  <w:tab w:val="left" w:pos="8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Financial Statement and Profit Distribution Plan in 2023 (consolidated)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  <w:tab w:val="left" w:pos="86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profit distribution in 2023;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2023: VND 111,262,524,643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profit distribution in 2023:</w:t>
      </w:r>
    </w:p>
    <w:p w:rsidR="009B446E" w:rsidRPr="00BB622E" w:rsidRDefault="00BB622E" w:rsidP="008B76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Dividends paid to shareholders in cash: VND 27,850,000,000</w:t>
      </w:r>
    </w:p>
    <w:p w:rsidR="009B446E" w:rsidRPr="00BB622E" w:rsidRDefault="00BB622E" w:rsidP="008B76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Undistributed profit after tax in 2023 for investment, development, and other purposes:  VND 83,412,524,643</w:t>
      </w:r>
    </w:p>
    <w:p w:rsidR="009B446E" w:rsidRPr="00BB622E" w:rsidRDefault="00BB622E" w:rsidP="008B76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Remaining accumulated profit after tax:  VND 213,202,541,338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form: Bank transfer or in cash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of dividend payment: After the General Meeting of Shareholders:</w:t>
      </w:r>
    </w:p>
    <w:p w:rsidR="009B446E" w:rsidRPr="00BB622E" w:rsidRDefault="00BB622E" w:rsidP="008B76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Financial Statement and Profit Distribution Plan in 2022 (separate)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Plan on profit distribution in 2023;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Profit before tax in 2023: VND 112,535,809,921.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profit distribution in 2023:</w:t>
      </w:r>
    </w:p>
    <w:p w:rsidR="009B446E" w:rsidRPr="00BB622E" w:rsidRDefault="00BB622E" w:rsidP="008B76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Dividends paid to shareholders in cash (90% of charter capital):  VND 27,810,000,000</w:t>
      </w:r>
    </w:p>
    <w:p w:rsidR="009B446E" w:rsidRPr="00BB622E" w:rsidRDefault="00BB622E" w:rsidP="008B76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Undistributed profit after tax in 2023 for investment, development, and other purposes: VND 84,725,809,921</w:t>
      </w:r>
    </w:p>
    <w:p w:rsidR="009B446E" w:rsidRPr="00BB622E" w:rsidRDefault="00BB622E" w:rsidP="008B76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Remaining accumulated profit after tax: VND 194,510,879,625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 payment form: Bank transfer or in cash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of dividend payment: After the General Meeting:</w:t>
      </w:r>
    </w:p>
    <w:p w:rsidR="009B446E" w:rsidRPr="00BB622E" w:rsidRDefault="00BB622E" w:rsidP="008B76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approves the Proposal on Financial plan and Profit distribution plan in 2024. 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3.1 Approve the Proposal on Financial Plan and Profit Distribution Plan for 2024 (Consolidated).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for 2024: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"/>
          <w:tab w:val="left" w:pos="89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Profit after tax in 2024 VND 98,105,593,315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"/>
          <w:tab w:val="left" w:pos="89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Expected profit distribution in 2024: </w:t>
      </w:r>
    </w:p>
    <w:p w:rsidR="009B446E" w:rsidRPr="00BB622E" w:rsidRDefault="00BB622E" w:rsidP="008B76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4"/>
          <w:tab w:val="left" w:pos="89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Dividends paid to shareholders ≥10% of charter capital </w:t>
      </w:r>
    </w:p>
    <w:p w:rsidR="009B446E" w:rsidRPr="00BB622E" w:rsidRDefault="00BB622E" w:rsidP="008B7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Proposal on the financial plan and profit distribution plan in 2023 (separate)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 for 2024: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Profit after tax in 2024 VND 90,585,689,966</w:t>
      </w:r>
    </w:p>
    <w:p w:rsidR="009B446E" w:rsidRPr="00BB622E" w:rsidRDefault="00BB622E" w:rsidP="008B76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profit distribution in 2024:</w:t>
      </w:r>
    </w:p>
    <w:p w:rsidR="009B446E" w:rsidRPr="00BB622E" w:rsidRDefault="00BB622E" w:rsidP="008B76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Dividends paid to shareholders ≥10% of charter capital</w:t>
      </w:r>
    </w:p>
    <w:p w:rsidR="009B446E" w:rsidRPr="00BB622E" w:rsidRDefault="00BB622E" w:rsidP="008B76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approves the Report on Activities of the Board of Directors in 2023 and Operational orientation in 2024.</w:t>
      </w:r>
    </w:p>
    <w:p w:rsidR="009B446E" w:rsidRPr="00BB622E" w:rsidRDefault="00BB622E" w:rsidP="008B76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General Meeting approved the Proposal on amending and supplementing the Company's Charter. </w:t>
      </w:r>
    </w:p>
    <w:p w:rsidR="009B446E" w:rsidRPr="00BB622E" w:rsidRDefault="00BB622E" w:rsidP="008B76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approved the Report of the Supervisory Board on the management</w:t>
      </w:r>
      <w:r w:rsidR="008B7687">
        <w:rPr>
          <w:rFonts w:ascii="Arial" w:hAnsi="Arial"/>
          <w:color w:val="010000"/>
          <w:sz w:val="20"/>
        </w:rPr>
        <w:t xml:space="preserve"> of the Board of Directors, Executive Board, a</w:t>
      </w:r>
      <w:r>
        <w:rPr>
          <w:rFonts w:ascii="Arial" w:hAnsi="Arial"/>
          <w:color w:val="010000"/>
          <w:sz w:val="20"/>
        </w:rPr>
        <w:t>ctivities of the Supervi</w:t>
      </w:r>
      <w:r w:rsidR="008B7687">
        <w:rPr>
          <w:rFonts w:ascii="Arial" w:hAnsi="Arial"/>
          <w:color w:val="010000"/>
          <w:sz w:val="20"/>
        </w:rPr>
        <w:t>sory Board in 2023 and</w:t>
      </w:r>
      <w:r>
        <w:rPr>
          <w:rFonts w:ascii="Arial" w:hAnsi="Arial"/>
          <w:color w:val="010000"/>
          <w:sz w:val="20"/>
        </w:rPr>
        <w:t xml:space="preserve"> orientation for 2024.</w:t>
      </w:r>
    </w:p>
    <w:p w:rsidR="009B446E" w:rsidRPr="00BB622E" w:rsidRDefault="00BB622E" w:rsidP="008B76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General Meeting approved the Proposal on selecting an audit company.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</w:t>
      </w:r>
      <w:r w:rsidR="008B7687">
        <w:rPr>
          <w:rFonts w:ascii="Arial" w:hAnsi="Arial"/>
          <w:color w:val="010000"/>
          <w:sz w:val="20"/>
        </w:rPr>
        <w:t>e 2. The Annual General Meeting</w:t>
      </w:r>
      <w:r>
        <w:rPr>
          <w:rFonts w:ascii="Arial" w:hAnsi="Arial"/>
          <w:color w:val="010000"/>
          <w:sz w:val="20"/>
        </w:rPr>
        <w:t xml:space="preserve"> 2024 authorizes the Board of Directors to </w:t>
      </w:r>
      <w:r w:rsidR="008B7687">
        <w:rPr>
          <w:rFonts w:ascii="Arial" w:hAnsi="Arial"/>
          <w:color w:val="010000"/>
          <w:sz w:val="20"/>
        </w:rPr>
        <w:t>direct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the implementation of the General Mandate.</w:t>
      </w:r>
    </w:p>
    <w:p w:rsidR="009B446E" w:rsidRPr="00BB622E" w:rsidRDefault="00BB622E" w:rsidP="008B76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The General Mandate was read before the meeting and was approve</w:t>
      </w:r>
      <w:r w:rsidR="008B7687">
        <w:rPr>
          <w:rFonts w:ascii="Arial" w:hAnsi="Arial"/>
          <w:color w:val="010000"/>
          <w:sz w:val="20"/>
        </w:rPr>
        <w:t>d by the Annual General Meeting.</w:t>
      </w:r>
    </w:p>
    <w:sectPr w:rsidR="009B446E" w:rsidRPr="00BB622E" w:rsidSect="00BB622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150"/>
    <w:multiLevelType w:val="multilevel"/>
    <w:tmpl w:val="D4F08A1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E3FF0"/>
    <w:multiLevelType w:val="multilevel"/>
    <w:tmpl w:val="55787180"/>
    <w:lvl w:ilvl="0">
      <w:start w:val="2"/>
      <w:numFmt w:val="decimal"/>
      <w:lvlText w:val="3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3A7A62"/>
    <w:multiLevelType w:val="multilevel"/>
    <w:tmpl w:val="B6B0279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12F3F4F"/>
    <w:multiLevelType w:val="multilevel"/>
    <w:tmpl w:val="D14AA38E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7A48EA"/>
    <w:multiLevelType w:val="multilevel"/>
    <w:tmpl w:val="F21CE4F8"/>
    <w:lvl w:ilvl="0">
      <w:start w:val="1"/>
      <w:numFmt w:val="decimal"/>
      <w:lvlText w:val="2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96000BB"/>
    <w:multiLevelType w:val="multilevel"/>
    <w:tmpl w:val="49CCA6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73CCF"/>
    <w:multiLevelType w:val="multilevel"/>
    <w:tmpl w:val="33B640C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5F5DA9"/>
    <w:multiLevelType w:val="multilevel"/>
    <w:tmpl w:val="94A03404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C30288"/>
    <w:multiLevelType w:val="multilevel"/>
    <w:tmpl w:val="AE789E20"/>
    <w:lvl w:ilvl="0">
      <w:start w:val="8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E"/>
    <w:rsid w:val="008B7687"/>
    <w:rsid w:val="009B446E"/>
    <w:rsid w:val="00B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4D867"/>
  <w15:docId w15:val="{29029291-D648-4DCF-B035-8908591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57030C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57030C"/>
      <w:sz w:val="14"/>
      <w:szCs w:val="14"/>
      <w:u w:val="singl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1" w:lineRule="auto"/>
      <w:ind w:left="1100" w:firstLine="20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spacing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35" w:lineRule="auto"/>
      <w:ind w:firstLine="80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ind w:left="-1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line="298" w:lineRule="auto"/>
      <w:jc w:val="right"/>
    </w:pPr>
    <w:rPr>
      <w:rFonts w:ascii="Arial" w:eastAsia="Arial" w:hAnsi="Arial" w:cs="Arial"/>
      <w:i/>
      <w:iCs/>
      <w:color w:val="57030C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color w:val="57030C"/>
      <w:sz w:val="14"/>
      <w:szCs w:val="14"/>
      <w:u w:val="single"/>
    </w:rPr>
  </w:style>
  <w:style w:type="paragraph" w:customStyle="1" w:styleId="Bodytext70">
    <w:name w:val="Body text (7)"/>
    <w:basedOn w:val="Normal"/>
    <w:link w:val="Bodytext7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line="295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EDaNoXSpzOeA+61As0avQuO5eQ==">CgMxLjAyCGguZ2pkZ3hzOAByITFmSDZtR1pWb0c5ai00Yjk1RUIzNVc3Mmp0ZVdyVGtIWQ==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2024-05-07T04:34:00Z</dcterms:created>
  <dcterms:modified xsi:type="dcterms:W3CDTF">2024-05-07T04:34:00Z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cc8e6aca67e9bdb556054347986c47c99f4e3eb7e1c0fbca71c84e75872ec94b</vt:lpwstr>
  </property>
</Properties>
</file>