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DBAF7" w14:textId="77777777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HPI: Annual General Mandate 2024</w:t>
      </w:r>
    </w:p>
    <w:p w14:paraId="7C8A7DF4" w14:textId="77777777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26, 2024, Hiep </w:t>
      </w:r>
      <w:proofErr w:type="spellStart"/>
      <w:r>
        <w:rPr>
          <w:rFonts w:ascii="Arial" w:hAnsi="Arial"/>
          <w:color w:val="010000"/>
          <w:sz w:val="20"/>
        </w:rPr>
        <w:t>Phuoc</w:t>
      </w:r>
      <w:proofErr w:type="spellEnd"/>
      <w:r>
        <w:rPr>
          <w:rFonts w:ascii="Arial" w:hAnsi="Arial"/>
          <w:color w:val="010000"/>
          <w:sz w:val="20"/>
        </w:rPr>
        <w:t xml:space="preserve"> Industrial Park Joint Stock Company announced General Mandate No. 06/2024/NQ-HIPC-DHDCDTN as follows:</w:t>
      </w:r>
    </w:p>
    <w:p w14:paraId="680EECF4" w14:textId="77777777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Approve the Audited Financial Statements for the year 2023 of the Company according to the contents of Proposal No. 01/2024/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-HIPC-HDQT dated April 3, 2024.</w:t>
      </w:r>
    </w:p>
    <w:p w14:paraId="1FA53B76" w14:textId="707BED83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Approve the Audited Report on the progress of using </w:t>
      </w:r>
      <w:r w:rsidR="00F92A82">
        <w:rPr>
          <w:rFonts w:ascii="Arial" w:hAnsi="Arial"/>
          <w:color w:val="010000"/>
          <w:sz w:val="20"/>
        </w:rPr>
        <w:t>proceeds</w:t>
      </w:r>
      <w:r>
        <w:rPr>
          <w:rFonts w:ascii="Arial" w:hAnsi="Arial"/>
          <w:color w:val="010000"/>
          <w:sz w:val="20"/>
        </w:rPr>
        <w:t xml:space="preserve"> obtained from the additional share issuance from November 7, 2016 to December 31, 2023 according to the contents of Proposal No. 01/2024/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-HIPC-HDQT dated April 3, 2024.</w:t>
      </w:r>
    </w:p>
    <w:p w14:paraId="20E6EA25" w14:textId="77777777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Approve Report No. 11/2024/BC-HIPC-TGD dated March 14, 2024 of the General Manager on the Business Performance in 2023 according to the contents of Proposal No. 02/2024/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-HIPC-HDQT dated April 3, 2024.</w:t>
      </w:r>
    </w:p>
    <w:p w14:paraId="55B163D5" w14:textId="77777777" w:rsidR="00CC333A" w:rsidRPr="00BF587F" w:rsidRDefault="00BF587F" w:rsidP="00BF587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Business results in 2023:</w:t>
      </w:r>
    </w:p>
    <w:p w14:paraId="114FCCC8" w14:textId="77777777" w:rsidR="00CC333A" w:rsidRPr="00BF587F" w:rsidRDefault="00BF587F" w:rsidP="00BF58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5"/>
        <w:gridCol w:w="2382"/>
        <w:gridCol w:w="1242"/>
        <w:gridCol w:w="1313"/>
        <w:gridCol w:w="1257"/>
        <w:gridCol w:w="1188"/>
        <w:gridCol w:w="1120"/>
      </w:tblGrid>
      <w:tr w:rsidR="00CC333A" w:rsidRPr="00BF587F" w14:paraId="45F02EDB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FC56F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616AF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0E58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2022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16CF6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Plan 2023 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E172D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Results 2023 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BCBEC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Results 2023/Results 2022 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B0DE0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Results 2023 /Plan 2023 </w:t>
            </w:r>
          </w:p>
        </w:tc>
      </w:tr>
      <w:tr w:rsidR="00CC333A" w:rsidRPr="00BF587F" w14:paraId="4C466A4E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2514A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55388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26578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188,061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B76FF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143,103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0FCA3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136,775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8D78E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20A00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96%</w:t>
            </w:r>
          </w:p>
        </w:tc>
      </w:tr>
      <w:tr w:rsidR="00CC333A" w:rsidRPr="00BF587F" w14:paraId="30B101F3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9170A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5B945" w14:textId="77777777" w:rsidR="00CC333A" w:rsidRPr="00BF587F" w:rsidRDefault="00BF587F" w:rsidP="00BF587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Land lease phase 1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14F5B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1,898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E0DE1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1,751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756F1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3,419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F2C1A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180%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B9F0A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195%</w:t>
            </w:r>
          </w:p>
        </w:tc>
      </w:tr>
      <w:tr w:rsidR="00CC333A" w:rsidRPr="00BF587F" w14:paraId="67538EB2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48D6A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1CF95" w14:textId="77777777" w:rsidR="00CC333A" w:rsidRPr="00BF587F" w:rsidRDefault="00BF587F" w:rsidP="00BF587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Land lease phase 2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56A2F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64,899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76C03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6,145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767E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3,645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93D2B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C5C08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59%</w:t>
            </w:r>
          </w:p>
        </w:tc>
      </w:tr>
      <w:tr w:rsidR="00CC333A" w:rsidRPr="00BF587F" w14:paraId="5524DF4F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6432B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B8FCE" w14:textId="77777777" w:rsidR="00CC333A" w:rsidRPr="00BF587F" w:rsidRDefault="00BF587F" w:rsidP="00BF587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Clean water supplying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89ABE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46,606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53AC0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50,642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B956B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46,675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FF027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CF08A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92%</w:t>
            </w:r>
          </w:p>
        </w:tc>
      </w:tr>
      <w:tr w:rsidR="00CC333A" w:rsidRPr="00BF587F" w14:paraId="7B531A29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7B93D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9FCFB" w14:textId="77777777" w:rsidR="00CC333A" w:rsidRPr="00BF587F" w:rsidRDefault="00BF587F" w:rsidP="00BF587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Wastewater treatment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AD5EB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24,992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D73B5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25,750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CD0B3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25,423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F5D15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102%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2EAB5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99%</w:t>
            </w:r>
          </w:p>
        </w:tc>
      </w:tr>
      <w:tr w:rsidR="00CC333A" w:rsidRPr="00BF587F" w14:paraId="7B8DF7FE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F9333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EF28D" w14:textId="77777777" w:rsidR="00CC333A" w:rsidRPr="00BF587F" w:rsidRDefault="00BF587F" w:rsidP="00BF587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Industrial dormitory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C020F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4,389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7D670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4,559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A4A21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4,424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A7361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101%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95491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97%</w:t>
            </w:r>
          </w:p>
        </w:tc>
      </w:tr>
      <w:tr w:rsidR="00CC333A" w:rsidRPr="00BF587F" w14:paraId="3B7DFB55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FC9C1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BBBF8" w14:textId="77777777" w:rsidR="00CC333A" w:rsidRPr="00BF587F" w:rsidRDefault="00BF587F" w:rsidP="00BF587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services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6DE2E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6505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302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429D1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79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4EA19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5C39B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26%</w:t>
            </w:r>
          </w:p>
        </w:tc>
      </w:tr>
      <w:tr w:rsidR="00CC333A" w:rsidRPr="00BF587F" w14:paraId="495E3848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FC69D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373F7" w14:textId="77777777" w:rsidR="00CC333A" w:rsidRPr="00BF587F" w:rsidRDefault="00BF587F" w:rsidP="00BF587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income</w:t>
            </w:r>
            <w:r>
              <w:rPr>
                <w:rFonts w:ascii="Arial" w:hAnsi="Arial"/>
                <w:color w:val="010000"/>
                <w:sz w:val="20"/>
              </w:rPr>
              <w:tab/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4992F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42,183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55A5D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51,130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8AE20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110,737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CE3B4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263%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867AE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217%</w:t>
            </w:r>
          </w:p>
        </w:tc>
      </w:tr>
      <w:tr w:rsidR="00CC333A" w:rsidRPr="00BF587F" w14:paraId="02538253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1F33B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CE670" w14:textId="77777777" w:rsidR="00CC333A" w:rsidRPr="00BF587F" w:rsidRDefault="00BF587F" w:rsidP="00BF587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incomes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145E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3,094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2B7DB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2,825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434B5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3,383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6F007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109%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30214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120%</w:t>
            </w:r>
          </w:p>
        </w:tc>
      </w:tr>
      <w:tr w:rsidR="00CC333A" w:rsidRPr="00BF587F" w14:paraId="537539F8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B6173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65492" w14:textId="77777777" w:rsidR="00CC333A" w:rsidRPr="00BF587F" w:rsidRDefault="00BF587F" w:rsidP="00BF587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Land recovery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71CB6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54A62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36A65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(61,010)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5618A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B8B20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C333A" w:rsidRPr="00BF587F" w14:paraId="43F1EFA6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DC153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E6C04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cost of goods sold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28748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122,858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CA6FB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71,722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EC326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34,644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16C15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C555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48%</w:t>
            </w:r>
          </w:p>
        </w:tc>
      </w:tr>
      <w:tr w:rsidR="00CC333A" w:rsidRPr="00BF587F" w14:paraId="55D17E7D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38A5F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03AE6" w14:textId="77777777" w:rsidR="00CC333A" w:rsidRPr="00BF587F" w:rsidRDefault="00BF587F" w:rsidP="00BF587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Land lease phase 1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061F7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607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B4DD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502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54C53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608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E0098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9850A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121%</w:t>
            </w:r>
          </w:p>
        </w:tc>
      </w:tr>
      <w:tr w:rsidR="00CC333A" w:rsidRPr="00BF587F" w14:paraId="5CCB2732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E618B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0ED0F" w14:textId="77777777" w:rsidR="00CC333A" w:rsidRPr="00BF587F" w:rsidRDefault="00BF587F" w:rsidP="00BF587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Land lease phase 2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330F0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66,185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954E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6,145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A38F1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2,623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76366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CFE79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43%</w:t>
            </w:r>
          </w:p>
        </w:tc>
      </w:tr>
      <w:tr w:rsidR="00CC333A" w:rsidRPr="00BF587F" w14:paraId="25492162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B8EB0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DFADC" w14:textId="77777777" w:rsidR="00CC333A" w:rsidRPr="00BF587F" w:rsidRDefault="00BF587F" w:rsidP="00BF587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Clean water supplying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DACC1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46,022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931FE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45,638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FBADD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38,609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05EBD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84%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F6A2D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85%</w:t>
            </w:r>
          </w:p>
        </w:tc>
      </w:tr>
      <w:tr w:rsidR="00CC333A" w:rsidRPr="00BF587F" w14:paraId="12C3A0AA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268B3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74210" w14:textId="77777777" w:rsidR="00CC333A" w:rsidRPr="00BF587F" w:rsidRDefault="00BF587F" w:rsidP="00BF587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Wastewater treatment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E5201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6,506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CCEC6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14,906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556AD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8,053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AEF09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124%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0EAFC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54%</w:t>
            </w:r>
          </w:p>
        </w:tc>
      </w:tr>
      <w:tr w:rsidR="00CC333A" w:rsidRPr="00BF587F" w14:paraId="4D36BBF4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7486F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2D0BF" w14:textId="77777777" w:rsidR="00CC333A" w:rsidRPr="00BF587F" w:rsidRDefault="00BF587F" w:rsidP="00BF587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Industrial dormitory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F0421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3,538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E5088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4,272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47CDA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3,167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66C05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90%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AD7D4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74%</w:t>
            </w:r>
          </w:p>
        </w:tc>
      </w:tr>
      <w:tr w:rsidR="00CC333A" w:rsidRPr="00BF587F" w14:paraId="7692917E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5549C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BBDC3" w14:textId="77777777" w:rsidR="00CC333A" w:rsidRPr="00BF587F" w:rsidRDefault="00BF587F" w:rsidP="00BF587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expenses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BBA8E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0B5D3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260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C2A21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922F5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EEB38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C333A" w:rsidRPr="00BF587F" w14:paraId="77C2A224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479EB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622FC" w14:textId="77777777" w:rsidR="00CC333A" w:rsidRPr="00BF587F" w:rsidRDefault="00BF587F" w:rsidP="00BF587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Adjustment due to land recovery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8E5B3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10128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6428E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(18,416)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4386D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56439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C333A" w:rsidRPr="00BF587F" w14:paraId="24980688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32B34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D2190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D6995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32,505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83705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44,756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39601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34,672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E8060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107%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FBED1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77%</w:t>
            </w:r>
          </w:p>
        </w:tc>
      </w:tr>
      <w:tr w:rsidR="00CC333A" w:rsidRPr="00BF587F" w14:paraId="7B817F57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F687E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8A8DA" w14:textId="77777777" w:rsidR="00CC333A" w:rsidRPr="00BF587F" w:rsidRDefault="00BF587F" w:rsidP="00BF587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expense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28F6F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(4,032)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55FCE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92A70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(33)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E0B45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2FDDA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C333A" w:rsidRPr="00BF587F" w14:paraId="219DFBBE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F2311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123C3" w14:textId="77777777" w:rsidR="00CC333A" w:rsidRPr="00BF587F" w:rsidRDefault="00BF587F" w:rsidP="00BF587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Selling expense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5A87C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4,094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D832D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4,464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E1F01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2,952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8320B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4B12D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66%</w:t>
            </w:r>
          </w:p>
        </w:tc>
      </w:tr>
      <w:tr w:rsidR="00CC333A" w:rsidRPr="00BF587F" w14:paraId="6EA298C1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F6D2F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C70A6" w14:textId="77777777" w:rsidR="00CC333A" w:rsidRPr="00BF587F" w:rsidRDefault="00BF587F" w:rsidP="00BF587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A829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31,734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FF4F5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39,403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50D49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30,633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B586D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97%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C1C3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78%</w:t>
            </w:r>
          </w:p>
        </w:tc>
      </w:tr>
      <w:tr w:rsidR="00CC333A" w:rsidRPr="00BF587F" w14:paraId="397D785D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B2836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28274" w14:textId="77777777" w:rsidR="00CC333A" w:rsidRPr="00BF587F" w:rsidRDefault="00BF587F" w:rsidP="00BF587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expenses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33FBB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709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0CD7E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889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81C1C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1,120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B4700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158%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F82E7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126%</w:t>
            </w:r>
          </w:p>
        </w:tc>
      </w:tr>
      <w:tr w:rsidR="00CC333A" w:rsidRPr="00BF587F" w14:paraId="227015B7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F5437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E96F3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tax: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1C15D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32,698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40BDD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26,624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7F986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67,459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C542A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206%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57181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253%</w:t>
            </w:r>
          </w:p>
        </w:tc>
      </w:tr>
      <w:tr w:rsidR="00CC333A" w:rsidRPr="00BF587F" w14:paraId="04DF7F2C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DDBA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F9AA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C2F50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FF091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CE915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68E96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90707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C333A" w:rsidRPr="00BF587F" w14:paraId="5215CDBA" w14:textId="77777777" w:rsidTr="00BF587F"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E767B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408B3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EA7D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32,698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9199A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26,624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7FB83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67,459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8D73D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206%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60260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253%</w:t>
            </w:r>
          </w:p>
        </w:tc>
      </w:tr>
    </w:tbl>
    <w:p w14:paraId="298242E5" w14:textId="77777777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4: Approve Report No. 14/2024/BC-HIPC-HDQT dated April 1, 2024 of the Board of Directors on the Performance in 2023 according to the contents of Proposal No. 02/2024/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-HIPC-HDQT dated April 3, 2024.</w:t>
      </w:r>
    </w:p>
    <w:p w14:paraId="054D1B5E" w14:textId="77777777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5: Approve Report No. 01/2024/BC-HIPC-BKS dated March 20, 2024 of the Supervisory Board on the performance in 2023 according to the contents of Proposal No. 02/2024/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-HIPC-HDQT dated April 3, 2024.</w:t>
      </w:r>
    </w:p>
    <w:p w14:paraId="7A1FA642" w14:textId="77777777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6: Approve the Profit Distribution Plan for 2023 according to the contents of Proposal No. 03/2024/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-HIPC-HDQT dated April 3, 2024.</w:t>
      </w:r>
    </w:p>
    <w:p w14:paraId="2B3A2C43" w14:textId="77777777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Do not make allocations to funds and do not pay dividends for 2023.</w:t>
      </w:r>
    </w:p>
    <w:p w14:paraId="71C0CA99" w14:textId="77777777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Reason:</w:t>
      </w:r>
    </w:p>
    <w:p w14:paraId="0C293BA2" w14:textId="3B745CFD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tabs>
          <w:tab w:val="right" w:pos="8596"/>
          <w:tab w:val="right" w:pos="91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Accumulated retained earnings as of December 31, 2022: VND </w:t>
      </w:r>
      <w:r w:rsidR="00CA0DA6">
        <w:rPr>
          <w:rFonts w:ascii="Arial" w:hAnsi="Arial"/>
          <w:color w:val="010000"/>
          <w:sz w:val="20"/>
        </w:rPr>
        <w:t>(</w:t>
      </w:r>
      <w:r>
        <w:rPr>
          <w:rFonts w:ascii="Arial" w:hAnsi="Arial"/>
          <w:color w:val="010000"/>
          <w:sz w:val="20"/>
        </w:rPr>
        <w:t>445,729,073,729)</w:t>
      </w:r>
    </w:p>
    <w:p w14:paraId="24E166A2" w14:textId="77777777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tabs>
          <w:tab w:val="right" w:pos="8596"/>
          <w:tab w:val="right" w:pos="91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Undistributed profit after tax for the year as of December 31, 2023:  VND 66,741,646,738</w:t>
      </w:r>
    </w:p>
    <w:p w14:paraId="762B11D7" w14:textId="6D8E78A1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tabs>
          <w:tab w:val="right" w:pos="8596"/>
          <w:tab w:val="right" w:pos="91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Accumulated profit after tax for the year as of December 31, 2023: VND </w:t>
      </w:r>
      <w:r w:rsidR="004874A4">
        <w:rPr>
          <w:rFonts w:ascii="Arial" w:hAnsi="Arial"/>
          <w:color w:val="010000"/>
          <w:sz w:val="20"/>
        </w:rPr>
        <w:t>(</w:t>
      </w:r>
      <w:r>
        <w:rPr>
          <w:rFonts w:ascii="Arial" w:hAnsi="Arial"/>
          <w:color w:val="010000"/>
          <w:sz w:val="20"/>
        </w:rPr>
        <w:t>378,987,426,991)</w:t>
      </w:r>
    </w:p>
    <w:p w14:paraId="6D585FC3" w14:textId="4727C15B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7: Approve the Report on the implementation of remuneration for the Board of Directors, Supervisory Board, and Company</w:t>
      </w:r>
      <w:r w:rsidR="00F92A82">
        <w:rPr>
          <w:rFonts w:ascii="Arial" w:hAnsi="Arial"/>
          <w:color w:val="010000"/>
          <w:sz w:val="20"/>
        </w:rPr>
        <w:t>’s</w:t>
      </w:r>
      <w:r>
        <w:rPr>
          <w:rFonts w:ascii="Arial" w:hAnsi="Arial"/>
          <w:color w:val="010000"/>
          <w:sz w:val="20"/>
        </w:rPr>
        <w:t xml:space="preserve"> Secretariat in 2023 and the Plan for remuneration of the Board of Directors, Supervisory Board, and Company Secretariat in 2024 according to the contents of Proposal No. 04/2024/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-HIPC-HDQT dated April 3, 2024.</w:t>
      </w:r>
    </w:p>
    <w:p w14:paraId="725EA303" w14:textId="77777777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8: Approve the Business Plan for 2024 according to the contents of Proposal No. 05/2024/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-HIPC-HDQT dated April 3, 2023.</w:t>
      </w:r>
    </w:p>
    <w:p w14:paraId="33A0AEF0" w14:textId="77777777" w:rsidR="00CC333A" w:rsidRPr="00BF587F" w:rsidRDefault="00BF587F" w:rsidP="00BF58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Unit Million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8"/>
        <w:gridCol w:w="2215"/>
        <w:gridCol w:w="1115"/>
        <w:gridCol w:w="873"/>
        <w:gridCol w:w="818"/>
        <w:gridCol w:w="1749"/>
        <w:gridCol w:w="1619"/>
      </w:tblGrid>
      <w:tr w:rsidR="00CC333A" w:rsidRPr="00BF587F" w14:paraId="7928018D" w14:textId="77777777" w:rsidTr="00BF587F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408FA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925DA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  <w:tc>
          <w:tcPr>
            <w:tcW w:w="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DFD86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2023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3FC03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2023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7BC27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A25CC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t>Plan 2024/Results 2023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8CE1D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2024/Plan 2023</w:t>
            </w:r>
          </w:p>
        </w:tc>
      </w:tr>
      <w:tr w:rsidR="00CC333A" w:rsidRPr="00BF587F" w14:paraId="2C869BDF" w14:textId="77777777" w:rsidTr="00BF587F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0885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A5C45" w14:textId="77777777" w:rsidR="00CC333A" w:rsidRPr="00BF587F" w:rsidRDefault="00BF587F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(2)</w:t>
            </w:r>
          </w:p>
        </w:tc>
        <w:tc>
          <w:tcPr>
            <w:tcW w:w="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2C2E5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(3)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BA088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(4)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A7D56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(5)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736DE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(6) = (5)/(4)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0A855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(7) = (5)/(3)</w:t>
            </w:r>
          </w:p>
        </w:tc>
      </w:tr>
      <w:tr w:rsidR="00CC333A" w:rsidRPr="00BF587F" w14:paraId="5CCDB9D3" w14:textId="77777777" w:rsidTr="00BF587F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68F6E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94B7F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22D7D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143,103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7F2E6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136,775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E16E7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133,978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18259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98%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24F6C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94%</w:t>
            </w:r>
          </w:p>
        </w:tc>
      </w:tr>
      <w:tr w:rsidR="00CC333A" w:rsidRPr="00BF587F" w14:paraId="36D62671" w14:textId="77777777" w:rsidTr="00BF587F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EBA74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3D61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cost of goods sold</w:t>
            </w:r>
          </w:p>
        </w:tc>
        <w:tc>
          <w:tcPr>
            <w:tcW w:w="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859E3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71,722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D4224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34,644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F2F68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66,676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A5177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192%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43446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93%</w:t>
            </w:r>
          </w:p>
        </w:tc>
      </w:tr>
      <w:tr w:rsidR="00CC333A" w:rsidRPr="00BF587F" w14:paraId="2DE3B706" w14:textId="77777777" w:rsidTr="00BF587F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D7BB1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F097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</w:t>
            </w:r>
          </w:p>
        </w:tc>
        <w:tc>
          <w:tcPr>
            <w:tcW w:w="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A3394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44,756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9947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34,672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0D7E5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43,142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7370C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124%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78C7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96%</w:t>
            </w:r>
          </w:p>
        </w:tc>
      </w:tr>
      <w:tr w:rsidR="00CC333A" w:rsidRPr="00BF587F" w14:paraId="546DF2C2" w14:textId="77777777" w:rsidTr="00BF587F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13135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9716F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tax:</w:t>
            </w:r>
          </w:p>
        </w:tc>
        <w:tc>
          <w:tcPr>
            <w:tcW w:w="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1651F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26,624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1402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67,459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64B70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24,160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907E4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36%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08793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91%</w:t>
            </w:r>
          </w:p>
        </w:tc>
      </w:tr>
      <w:tr w:rsidR="00CC333A" w:rsidRPr="00BF587F" w14:paraId="1FE729B8" w14:textId="77777777" w:rsidTr="00BF587F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6ECF2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CCC0B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</w:t>
            </w:r>
          </w:p>
        </w:tc>
        <w:tc>
          <w:tcPr>
            <w:tcW w:w="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C8A74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8506A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1EF44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4C7D0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254AC" w14:textId="77777777" w:rsidR="00CC333A" w:rsidRPr="00BF587F" w:rsidRDefault="00CC333A" w:rsidP="00BF58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C333A" w:rsidRPr="00BF587F" w14:paraId="7FEC8C6C" w14:textId="77777777" w:rsidTr="00BF587F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84C84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C212B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157D3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26,264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30509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67,459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4D368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24,160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F0BE7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36%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895ED" w14:textId="77777777" w:rsidR="00CC333A" w:rsidRPr="00BF587F" w:rsidRDefault="00BF587F" w:rsidP="00BF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91%</w:t>
            </w:r>
          </w:p>
        </w:tc>
      </w:tr>
    </w:tbl>
    <w:p w14:paraId="30D3F795" w14:textId="77777777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9: Approve the selection of the audit company for the Financial Statements for the year 2024 according to the contents of Proposal No. 06/2024/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-HIPC-BKS dated March 12, 2024.</w:t>
      </w:r>
    </w:p>
    <w:p w14:paraId="4ECDDBC8" w14:textId="77777777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10: Do not approve the Charter of Organization and Operation (7th amendment) according to the contents of Proposal No. 07/2024/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-HIPC-HDQT dated April 3, 2024.</w:t>
      </w:r>
    </w:p>
    <w:p w14:paraId="4A755A87" w14:textId="5B318956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11: This General Mandate was approved by the Annual General Meeting 2024 of Hiep </w:t>
      </w:r>
      <w:proofErr w:type="spellStart"/>
      <w:r>
        <w:rPr>
          <w:rFonts w:ascii="Arial" w:hAnsi="Arial"/>
          <w:color w:val="010000"/>
          <w:sz w:val="20"/>
        </w:rPr>
        <w:t>Phuoc</w:t>
      </w:r>
      <w:proofErr w:type="spellEnd"/>
      <w:r>
        <w:rPr>
          <w:rFonts w:ascii="Arial" w:hAnsi="Arial"/>
          <w:color w:val="010000"/>
          <w:sz w:val="20"/>
        </w:rPr>
        <w:t xml:space="preserve"> Industrial Park Joint Stock Company with the percentage of voting shares in favor of 74.62% and takes effect from the date of signing and issuance.</w:t>
      </w:r>
    </w:p>
    <w:p w14:paraId="131EC2D7" w14:textId="2F6D56C1" w:rsidR="00CC333A" w:rsidRPr="00BF587F" w:rsidRDefault="00BF587F" w:rsidP="00F92A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All shareholders, members of the Board of Directors, members of the Supervisory Board, members of the </w:t>
      </w:r>
      <w:r w:rsidR="00F92A82">
        <w:rPr>
          <w:rFonts w:ascii="Arial" w:hAnsi="Arial"/>
          <w:color w:val="010000"/>
          <w:sz w:val="20"/>
        </w:rPr>
        <w:t>Executive Board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and departments, teams, stations under Hiep </w:t>
      </w:r>
      <w:proofErr w:type="spellStart"/>
      <w:r>
        <w:rPr>
          <w:rFonts w:ascii="Arial" w:hAnsi="Arial"/>
          <w:color w:val="010000"/>
          <w:sz w:val="20"/>
        </w:rPr>
        <w:t>Phuoc</w:t>
      </w:r>
      <w:proofErr w:type="spellEnd"/>
      <w:r>
        <w:rPr>
          <w:rFonts w:ascii="Arial" w:hAnsi="Arial"/>
          <w:color w:val="010000"/>
          <w:sz w:val="20"/>
        </w:rPr>
        <w:t xml:space="preserve"> Industrial Park Joint Stock Company are responsible for implementing this General Mandate.</w:t>
      </w:r>
    </w:p>
    <w:sectPr w:rsidR="00CC333A" w:rsidRPr="00BF587F" w:rsidSect="00BF587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A1E"/>
    <w:multiLevelType w:val="hybridMultilevel"/>
    <w:tmpl w:val="ACB403EC"/>
    <w:lvl w:ilvl="0" w:tplc="4BA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49688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C8305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6BCA"/>
    <w:multiLevelType w:val="hybridMultilevel"/>
    <w:tmpl w:val="A0845DAE"/>
    <w:lvl w:ilvl="0" w:tplc="9536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44B65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5BF40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3A"/>
    <w:rsid w:val="004874A4"/>
    <w:rsid w:val="00BF587F"/>
    <w:rsid w:val="00CA0DA6"/>
    <w:rsid w:val="00CC333A"/>
    <w:rsid w:val="00F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7383A"/>
  <w15:docId w15:val="{77472D14-2C01-4F87-AEB3-B40004B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20406C"/>
      <w:sz w:val="32"/>
      <w:szCs w:val="32"/>
      <w:u w:val="singl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32642"/>
      <w:sz w:val="30"/>
      <w:szCs w:val="3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/>
      <w:bCs/>
      <w:i w:val="0"/>
      <w:iCs w:val="0"/>
      <w:smallCaps w:val="0"/>
      <w:strike w:val="0"/>
      <w:color w:val="C32642"/>
      <w:w w:val="7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64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Microsoft Sans Serif" w:eastAsia="Microsoft Sans Serif" w:hAnsi="Microsoft Sans Serif" w:cs="Microsoft Sans Serif"/>
      <w:b/>
      <w:bCs/>
      <w:color w:val="20406C"/>
      <w:sz w:val="32"/>
      <w:szCs w:val="32"/>
      <w:u w:val="single"/>
    </w:rPr>
  </w:style>
  <w:style w:type="paragraph" w:customStyle="1" w:styleId="Bodytext20">
    <w:name w:val="Body text (2)"/>
    <w:basedOn w:val="Normal"/>
    <w:link w:val="Bodytext2"/>
    <w:pPr>
      <w:spacing w:line="286" w:lineRule="auto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1">
    <w:name w:val="Heading #3"/>
    <w:basedOn w:val="Normal"/>
    <w:link w:val="Heading30"/>
    <w:pPr>
      <w:spacing w:line="307" w:lineRule="auto"/>
      <w:ind w:firstLine="3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Normal"/>
    <w:link w:val="Bodytext6"/>
    <w:pPr>
      <w:spacing w:line="178" w:lineRule="auto"/>
      <w:jc w:val="center"/>
    </w:pPr>
    <w:rPr>
      <w:rFonts w:ascii="Times New Roman" w:eastAsia="Times New Roman" w:hAnsi="Times New Roman" w:cs="Times New Roman"/>
      <w:color w:val="C32642"/>
      <w:sz w:val="30"/>
      <w:szCs w:val="30"/>
    </w:rPr>
  </w:style>
  <w:style w:type="paragraph" w:customStyle="1" w:styleId="Bodytext50">
    <w:name w:val="Body text (5)"/>
    <w:basedOn w:val="Normal"/>
    <w:link w:val="Bodytext5"/>
    <w:pPr>
      <w:spacing w:line="295" w:lineRule="auto"/>
      <w:ind w:left="4760" w:hanging="2420"/>
    </w:pPr>
    <w:rPr>
      <w:rFonts w:ascii="Cambria" w:eastAsia="Cambria" w:hAnsi="Cambria" w:cs="Cambria"/>
      <w:b/>
      <w:bCs/>
      <w:color w:val="C32642"/>
      <w:w w:val="70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BF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/Cr1QBTlmix7VTRs/2kdZ8dy4Q==">CgMxLjAyCGguZ2pkZ3hzOAByITFmbGdkMHNUNXg1YTZocTMyalFtVTgxaEc3aXE5S0NnaQ==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2024-05-07T04:40:00Z</dcterms:created>
  <dcterms:modified xsi:type="dcterms:W3CDTF">2024-05-07T04:40:00Z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de7ff81f8df9abee58a149069f17b17e3e83351ddd0838cc69535e72f2c7e99d</vt:lpwstr>
  </property>
</Properties>
</file>