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C50DB" w:rsidRPr="00CF56AE" w:rsidRDefault="00CF56AE" w:rsidP="00771628">
      <w:pPr>
        <w:pBdr>
          <w:top w:val="nil"/>
          <w:left w:val="nil"/>
          <w:bottom w:val="nil"/>
          <w:right w:val="nil"/>
          <w:between w:val="nil"/>
        </w:pBdr>
        <w:tabs>
          <w:tab w:val="left" w:pos="432"/>
          <w:tab w:val="left" w:pos="2159"/>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HUG: Annual General Mandate 2024</w:t>
      </w:r>
    </w:p>
    <w:p w14:paraId="00000002" w14:textId="710711AB" w:rsidR="003C50DB" w:rsidRPr="00CF56AE" w:rsidRDefault="00CF56AE" w:rsidP="00771628">
      <w:pPr>
        <w:pBdr>
          <w:top w:val="nil"/>
          <w:left w:val="nil"/>
          <w:bottom w:val="nil"/>
          <w:right w:val="nil"/>
          <w:between w:val="nil"/>
        </w:pBdr>
        <w:tabs>
          <w:tab w:val="left" w:pos="432"/>
          <w:tab w:val="left" w:pos="2159"/>
        </w:tabs>
        <w:spacing w:after="120" w:line="360" w:lineRule="auto"/>
        <w:jc w:val="both"/>
        <w:rPr>
          <w:rFonts w:ascii="Arial" w:eastAsia="Arial" w:hAnsi="Arial" w:cs="Arial"/>
          <w:color w:val="010000"/>
          <w:sz w:val="20"/>
          <w:szCs w:val="20"/>
        </w:rPr>
      </w:pPr>
      <w:r>
        <w:rPr>
          <w:rFonts w:ascii="Arial" w:hAnsi="Arial"/>
          <w:color w:val="010000"/>
          <w:sz w:val="20"/>
        </w:rPr>
        <w:t>On April 29, 2024, Hung Yen Garment Corporation -</w:t>
      </w:r>
      <w:r w:rsidR="00771628">
        <w:rPr>
          <w:rFonts w:ascii="Arial" w:hAnsi="Arial"/>
          <w:color w:val="010000"/>
          <w:sz w:val="20"/>
        </w:rPr>
        <w:t xml:space="preserve"> Joint Stock Company announced </w:t>
      </w:r>
      <w:r>
        <w:rPr>
          <w:rFonts w:ascii="Arial" w:hAnsi="Arial"/>
          <w:color w:val="010000"/>
          <w:sz w:val="20"/>
        </w:rPr>
        <w:t>General Mandate No. 01/NQDHDCD-MHY as follows:</w:t>
      </w:r>
    </w:p>
    <w:p w14:paraId="00000003" w14:textId="335A31BE" w:rsidR="003C50DB" w:rsidRPr="00CF56AE" w:rsidRDefault="00CF56AE" w:rsidP="007716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 Approve the Report on production and business results in 2023 by the </w:t>
      </w:r>
      <w:r w:rsidR="00771628">
        <w:rPr>
          <w:rFonts w:ascii="Arial" w:hAnsi="Arial"/>
          <w:color w:val="010000"/>
          <w:sz w:val="20"/>
        </w:rPr>
        <w:t>Executive Board</w:t>
      </w:r>
      <w:r>
        <w:rPr>
          <w:rFonts w:ascii="Arial" w:hAnsi="Arial"/>
          <w:color w:val="010000"/>
          <w:sz w:val="20"/>
        </w:rPr>
        <w:t>; Report on the activities of the Board of Directors and th</w:t>
      </w:r>
      <w:r w:rsidR="00771628">
        <w:rPr>
          <w:rFonts w:ascii="Arial" w:hAnsi="Arial"/>
          <w:color w:val="010000"/>
          <w:sz w:val="20"/>
        </w:rPr>
        <w:t>e Supervisory Board in 2023;</w:t>
      </w:r>
      <w:r>
        <w:rPr>
          <w:rFonts w:ascii="Arial" w:hAnsi="Arial"/>
          <w:color w:val="010000"/>
          <w:sz w:val="20"/>
        </w:rPr>
        <w:t xml:space="preserve"> Audited Finan</w:t>
      </w:r>
      <w:r w:rsidR="00771628">
        <w:rPr>
          <w:rFonts w:ascii="Arial" w:hAnsi="Arial"/>
          <w:color w:val="010000"/>
          <w:sz w:val="20"/>
        </w:rPr>
        <w:t>cial Statements for 2023 and</w:t>
      </w:r>
      <w:r>
        <w:rPr>
          <w:rFonts w:ascii="Arial" w:hAnsi="Arial"/>
          <w:color w:val="010000"/>
          <w:sz w:val="20"/>
        </w:rPr>
        <w:t xml:space="preserve"> plan for profit distribution in 2023.</w:t>
      </w:r>
    </w:p>
    <w:p w14:paraId="00000004" w14:textId="67E745A6" w:rsidR="003C50DB" w:rsidRPr="00CF56AE" w:rsidRDefault="00CF56AE" w:rsidP="007716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Some main targets are as follows:</w:t>
      </w:r>
    </w:p>
    <w:p w14:paraId="00000005" w14:textId="77777777" w:rsidR="003C50DB" w:rsidRPr="00CF56AE" w:rsidRDefault="00CF56AE" w:rsidP="007716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Production and business results in 2023 (audited):</w:t>
      </w:r>
    </w:p>
    <w:p w14:paraId="00000006" w14:textId="77777777" w:rsidR="003C50DB" w:rsidRPr="00CF56AE" w:rsidRDefault="00CF56AE" w:rsidP="00771628">
      <w:pPr>
        <w:numPr>
          <w:ilvl w:val="0"/>
          <w:numId w:val="1"/>
        </w:numPr>
        <w:pBdr>
          <w:top w:val="nil"/>
          <w:left w:val="nil"/>
          <w:bottom w:val="nil"/>
          <w:right w:val="nil"/>
          <w:between w:val="nil"/>
        </w:pBdr>
        <w:tabs>
          <w:tab w:val="left" w:pos="432"/>
          <w:tab w:val="left" w:pos="2067"/>
        </w:tabs>
        <w:spacing w:after="120" w:line="360" w:lineRule="auto"/>
        <w:jc w:val="both"/>
        <w:rPr>
          <w:rFonts w:ascii="Arial" w:eastAsia="Arial" w:hAnsi="Arial" w:cs="Arial"/>
          <w:color w:val="010000"/>
          <w:sz w:val="20"/>
          <w:szCs w:val="20"/>
        </w:rPr>
      </w:pPr>
      <w:r>
        <w:rPr>
          <w:rFonts w:ascii="Arial" w:hAnsi="Arial"/>
          <w:color w:val="010000"/>
          <w:sz w:val="20"/>
        </w:rPr>
        <w:t>Production revenue: USD 19,080,253</w:t>
      </w:r>
    </w:p>
    <w:p w14:paraId="00000007" w14:textId="62E86E12" w:rsidR="003C50DB" w:rsidRPr="00CF56AE" w:rsidRDefault="00CF56AE" w:rsidP="00771628">
      <w:pPr>
        <w:numPr>
          <w:ilvl w:val="0"/>
          <w:numId w:val="1"/>
        </w:numPr>
        <w:pBdr>
          <w:top w:val="nil"/>
          <w:left w:val="nil"/>
          <w:bottom w:val="nil"/>
          <w:right w:val="nil"/>
          <w:between w:val="nil"/>
        </w:pBdr>
        <w:tabs>
          <w:tab w:val="left" w:pos="432"/>
          <w:tab w:val="left" w:pos="2067"/>
        </w:tabs>
        <w:spacing w:after="120" w:line="360" w:lineRule="auto"/>
        <w:jc w:val="both"/>
        <w:rPr>
          <w:rFonts w:ascii="Arial" w:eastAsia="Arial" w:hAnsi="Arial" w:cs="Arial"/>
          <w:color w:val="010000"/>
          <w:sz w:val="20"/>
          <w:szCs w:val="20"/>
        </w:rPr>
      </w:pPr>
      <w:r>
        <w:rPr>
          <w:rFonts w:ascii="Arial" w:hAnsi="Arial"/>
          <w:color w:val="010000"/>
          <w:sz w:val="20"/>
        </w:rPr>
        <w:t>Consumption revenue VND 690,525,695,082</w:t>
      </w:r>
    </w:p>
    <w:p w14:paraId="00000008" w14:textId="77777777" w:rsidR="003C50DB" w:rsidRPr="00CF56AE" w:rsidRDefault="00CF56AE" w:rsidP="00771628">
      <w:pPr>
        <w:numPr>
          <w:ilvl w:val="0"/>
          <w:numId w:val="1"/>
        </w:numPr>
        <w:pBdr>
          <w:top w:val="nil"/>
          <w:left w:val="nil"/>
          <w:bottom w:val="nil"/>
          <w:right w:val="nil"/>
          <w:between w:val="nil"/>
        </w:pBdr>
        <w:tabs>
          <w:tab w:val="left" w:pos="432"/>
          <w:tab w:val="left" w:pos="2072"/>
        </w:tabs>
        <w:spacing w:after="120" w:line="360" w:lineRule="auto"/>
        <w:jc w:val="both"/>
        <w:rPr>
          <w:rFonts w:ascii="Arial" w:eastAsia="Arial" w:hAnsi="Arial" w:cs="Arial"/>
          <w:color w:val="010000"/>
          <w:sz w:val="20"/>
          <w:szCs w:val="20"/>
        </w:rPr>
      </w:pPr>
      <w:r>
        <w:rPr>
          <w:rFonts w:ascii="Arial" w:hAnsi="Arial"/>
          <w:color w:val="010000"/>
          <w:sz w:val="20"/>
        </w:rPr>
        <w:t>Profit before tax: VND 84,639,275,724</w:t>
      </w:r>
    </w:p>
    <w:p w14:paraId="00000009" w14:textId="1687A383" w:rsidR="003C50DB" w:rsidRPr="00CF56AE" w:rsidRDefault="00CF56AE" w:rsidP="00771628">
      <w:pPr>
        <w:numPr>
          <w:ilvl w:val="0"/>
          <w:numId w:val="1"/>
        </w:numPr>
        <w:pBdr>
          <w:top w:val="nil"/>
          <w:left w:val="nil"/>
          <w:bottom w:val="nil"/>
          <w:right w:val="nil"/>
          <w:between w:val="nil"/>
        </w:pBdr>
        <w:tabs>
          <w:tab w:val="left" w:pos="432"/>
          <w:tab w:val="left" w:pos="2072"/>
        </w:tabs>
        <w:spacing w:after="120" w:line="360" w:lineRule="auto"/>
        <w:jc w:val="both"/>
        <w:rPr>
          <w:rFonts w:ascii="Arial" w:eastAsia="Arial" w:hAnsi="Arial" w:cs="Arial"/>
          <w:color w:val="010000"/>
          <w:sz w:val="20"/>
          <w:szCs w:val="20"/>
        </w:rPr>
      </w:pPr>
      <w:r>
        <w:rPr>
          <w:rFonts w:ascii="Arial" w:hAnsi="Arial"/>
          <w:color w:val="010000"/>
          <w:sz w:val="20"/>
        </w:rPr>
        <w:t>Profit after tax: VND 76,594,248,327</w:t>
      </w:r>
    </w:p>
    <w:p w14:paraId="0000000A" w14:textId="77777777" w:rsidR="003C50DB" w:rsidRPr="00CF56AE" w:rsidRDefault="00CF56AE" w:rsidP="007716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Profit distribution and allocation to funds:</w:t>
      </w:r>
    </w:p>
    <w:p w14:paraId="0000000B" w14:textId="77777777" w:rsidR="003C50DB" w:rsidRPr="00CF56AE" w:rsidRDefault="00CF56AE" w:rsidP="00771628">
      <w:pPr>
        <w:numPr>
          <w:ilvl w:val="0"/>
          <w:numId w:val="1"/>
        </w:numPr>
        <w:pBdr>
          <w:top w:val="nil"/>
          <w:left w:val="nil"/>
          <w:bottom w:val="nil"/>
          <w:right w:val="nil"/>
          <w:between w:val="nil"/>
        </w:pBdr>
        <w:tabs>
          <w:tab w:val="left" w:pos="432"/>
          <w:tab w:val="left" w:pos="2107"/>
        </w:tabs>
        <w:spacing w:after="120" w:line="360" w:lineRule="auto"/>
        <w:jc w:val="both"/>
        <w:rPr>
          <w:rFonts w:ascii="Arial" w:eastAsia="Arial" w:hAnsi="Arial" w:cs="Arial"/>
          <w:color w:val="010000"/>
          <w:sz w:val="20"/>
          <w:szCs w:val="20"/>
        </w:rPr>
      </w:pPr>
      <w:r>
        <w:rPr>
          <w:rFonts w:ascii="Arial" w:hAnsi="Arial"/>
          <w:color w:val="010000"/>
          <w:sz w:val="20"/>
        </w:rPr>
        <w:t xml:space="preserve">Total undistributed accumulated profit after tax as of December 31, 2023:  VND 100,693,750,672; </w:t>
      </w:r>
    </w:p>
    <w:p w14:paraId="0000000C" w14:textId="77777777" w:rsidR="003C50DB" w:rsidRPr="00CF56AE" w:rsidRDefault="00CF56AE" w:rsidP="00771628">
      <w:pPr>
        <w:pBdr>
          <w:top w:val="nil"/>
          <w:left w:val="nil"/>
          <w:bottom w:val="nil"/>
          <w:right w:val="nil"/>
          <w:between w:val="nil"/>
        </w:pBdr>
        <w:tabs>
          <w:tab w:val="left" w:pos="432"/>
          <w:tab w:val="left" w:pos="2107"/>
        </w:tabs>
        <w:spacing w:after="120" w:line="360" w:lineRule="auto"/>
        <w:jc w:val="both"/>
        <w:rPr>
          <w:rFonts w:ascii="Arial" w:eastAsia="Arial" w:hAnsi="Arial" w:cs="Arial"/>
          <w:color w:val="010000"/>
          <w:sz w:val="20"/>
          <w:szCs w:val="20"/>
        </w:rPr>
      </w:pPr>
      <w:r>
        <w:rPr>
          <w:rFonts w:ascii="Arial" w:hAnsi="Arial"/>
          <w:color w:val="010000"/>
          <w:sz w:val="20"/>
        </w:rPr>
        <w:t>In which:</w:t>
      </w:r>
    </w:p>
    <w:p w14:paraId="0000000D" w14:textId="77777777" w:rsidR="003C50DB" w:rsidRPr="00CF56AE" w:rsidRDefault="00CF56AE" w:rsidP="00771628">
      <w:pPr>
        <w:numPr>
          <w:ilvl w:val="0"/>
          <w:numId w:val="1"/>
        </w:numPr>
        <w:pBdr>
          <w:top w:val="nil"/>
          <w:left w:val="nil"/>
          <w:bottom w:val="nil"/>
          <w:right w:val="nil"/>
          <w:between w:val="nil"/>
        </w:pBdr>
        <w:tabs>
          <w:tab w:val="left" w:pos="432"/>
          <w:tab w:val="left" w:pos="2107"/>
        </w:tabs>
        <w:spacing w:after="120" w:line="360" w:lineRule="auto"/>
        <w:jc w:val="both"/>
        <w:rPr>
          <w:rFonts w:ascii="Arial" w:eastAsia="Arial" w:hAnsi="Arial" w:cs="Arial"/>
          <w:color w:val="010000"/>
          <w:sz w:val="20"/>
          <w:szCs w:val="20"/>
        </w:rPr>
      </w:pPr>
      <w:r>
        <w:rPr>
          <w:rFonts w:ascii="Arial" w:hAnsi="Arial"/>
          <w:color w:val="010000"/>
          <w:sz w:val="20"/>
        </w:rPr>
        <w:t>Undistributed profit in 2023 VND 76,594,248,327</w:t>
      </w:r>
    </w:p>
    <w:p w14:paraId="0000000E" w14:textId="62003787" w:rsidR="003C50DB" w:rsidRPr="00CF56AE" w:rsidRDefault="00CF56AE" w:rsidP="00771628">
      <w:pPr>
        <w:numPr>
          <w:ilvl w:val="0"/>
          <w:numId w:val="1"/>
        </w:numPr>
        <w:pBdr>
          <w:top w:val="nil"/>
          <w:left w:val="nil"/>
          <w:bottom w:val="nil"/>
          <w:right w:val="nil"/>
          <w:between w:val="nil"/>
        </w:pBdr>
        <w:tabs>
          <w:tab w:val="left" w:pos="432"/>
          <w:tab w:val="left" w:pos="2107"/>
        </w:tabs>
        <w:spacing w:after="120" w:line="360" w:lineRule="auto"/>
        <w:jc w:val="both"/>
        <w:rPr>
          <w:rFonts w:ascii="Arial" w:eastAsia="Arial" w:hAnsi="Arial" w:cs="Arial"/>
          <w:color w:val="010000"/>
          <w:sz w:val="20"/>
          <w:szCs w:val="20"/>
        </w:rPr>
      </w:pPr>
      <w:r>
        <w:rPr>
          <w:rFonts w:ascii="Arial" w:hAnsi="Arial"/>
          <w:color w:val="010000"/>
          <w:sz w:val="20"/>
        </w:rPr>
        <w:t xml:space="preserve"> Accumulated undistributed profit at the end of the previous period:  VND 24,099,502,345 </w:t>
      </w:r>
    </w:p>
    <w:p w14:paraId="0000000F" w14:textId="77777777" w:rsidR="003C50DB" w:rsidRPr="00CF56AE" w:rsidRDefault="00CF56AE" w:rsidP="007716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Accumulated undistributed profit on the Financial Statements as of December 31, 2023 remains: VND 71,426,667,172 because the Company has accounted for the 15% dividend advance in 2023: VND 29,267,083,500.</w:t>
      </w:r>
    </w:p>
    <w:p w14:paraId="00000010" w14:textId="77777777" w:rsidR="003C50DB" w:rsidRPr="00CF56AE" w:rsidRDefault="00CF56AE" w:rsidP="00771628">
      <w:pPr>
        <w:numPr>
          <w:ilvl w:val="0"/>
          <w:numId w:val="1"/>
        </w:numPr>
        <w:pBdr>
          <w:top w:val="nil"/>
          <w:left w:val="nil"/>
          <w:bottom w:val="nil"/>
          <w:right w:val="nil"/>
          <w:between w:val="nil"/>
        </w:pBdr>
        <w:tabs>
          <w:tab w:val="left" w:pos="432"/>
          <w:tab w:val="left" w:pos="2067"/>
          <w:tab w:val="left" w:pos="5362"/>
        </w:tabs>
        <w:spacing w:after="120" w:line="360" w:lineRule="auto"/>
        <w:jc w:val="both"/>
        <w:rPr>
          <w:rFonts w:ascii="Arial" w:eastAsia="Arial" w:hAnsi="Arial" w:cs="Arial"/>
          <w:color w:val="010000"/>
          <w:sz w:val="20"/>
          <w:szCs w:val="20"/>
        </w:rPr>
      </w:pPr>
      <w:r>
        <w:rPr>
          <w:rFonts w:ascii="Arial" w:hAnsi="Arial"/>
          <w:color w:val="010000"/>
          <w:sz w:val="20"/>
        </w:rPr>
        <w:t>Profit distribution in 2023: VND 64,921,052,498</w:t>
      </w:r>
    </w:p>
    <w:p w14:paraId="00000011" w14:textId="77777777" w:rsidR="003C50DB" w:rsidRPr="00CF56AE" w:rsidRDefault="00CF56AE" w:rsidP="00771628">
      <w:pPr>
        <w:pBdr>
          <w:top w:val="nil"/>
          <w:left w:val="nil"/>
          <w:bottom w:val="nil"/>
          <w:right w:val="nil"/>
          <w:between w:val="nil"/>
        </w:pBdr>
        <w:tabs>
          <w:tab w:val="left" w:pos="432"/>
          <w:tab w:val="left" w:pos="6710"/>
        </w:tabs>
        <w:spacing w:after="120" w:line="360" w:lineRule="auto"/>
        <w:jc w:val="both"/>
        <w:rPr>
          <w:rFonts w:ascii="Arial" w:eastAsia="Arial" w:hAnsi="Arial" w:cs="Arial"/>
          <w:color w:val="010000"/>
          <w:sz w:val="20"/>
          <w:szCs w:val="20"/>
        </w:rPr>
      </w:pPr>
      <w:r>
        <w:rPr>
          <w:rFonts w:ascii="Arial" w:hAnsi="Arial"/>
          <w:color w:val="010000"/>
          <w:sz w:val="20"/>
        </w:rPr>
        <w:t xml:space="preserve">In which: </w:t>
      </w:r>
    </w:p>
    <w:p w14:paraId="00000012" w14:textId="77777777" w:rsidR="003C50DB" w:rsidRPr="00CF56AE" w:rsidRDefault="00CF56AE" w:rsidP="00771628">
      <w:pPr>
        <w:numPr>
          <w:ilvl w:val="0"/>
          <w:numId w:val="2"/>
        </w:numPr>
        <w:pBdr>
          <w:top w:val="nil"/>
          <w:left w:val="nil"/>
          <w:bottom w:val="nil"/>
          <w:right w:val="nil"/>
          <w:between w:val="nil"/>
        </w:pBdr>
        <w:tabs>
          <w:tab w:val="left" w:pos="432"/>
          <w:tab w:val="left" w:pos="6710"/>
        </w:tabs>
        <w:spacing w:after="120" w:line="360" w:lineRule="auto"/>
        <w:ind w:left="0" w:firstLine="0"/>
        <w:jc w:val="both"/>
        <w:rPr>
          <w:rFonts w:ascii="Arial" w:eastAsia="Arial" w:hAnsi="Arial" w:cs="Arial"/>
          <w:color w:val="010000"/>
          <w:sz w:val="20"/>
          <w:szCs w:val="20"/>
        </w:rPr>
      </w:pPr>
      <w:r>
        <w:rPr>
          <w:rFonts w:ascii="Arial" w:hAnsi="Arial"/>
          <w:color w:val="010000"/>
          <w:sz w:val="20"/>
        </w:rPr>
        <w:t>10% Reward Fund:  VND 7,659,424,833</w:t>
      </w:r>
    </w:p>
    <w:p w14:paraId="00000013" w14:textId="77777777" w:rsidR="003C50DB" w:rsidRPr="00CF56AE" w:rsidRDefault="00CF56AE" w:rsidP="00771628">
      <w:pPr>
        <w:numPr>
          <w:ilvl w:val="0"/>
          <w:numId w:val="2"/>
        </w:numPr>
        <w:pBdr>
          <w:top w:val="nil"/>
          <w:left w:val="nil"/>
          <w:bottom w:val="nil"/>
          <w:right w:val="nil"/>
          <w:between w:val="nil"/>
        </w:pBdr>
        <w:tabs>
          <w:tab w:val="left" w:pos="432"/>
          <w:tab w:val="left" w:pos="6710"/>
        </w:tabs>
        <w:spacing w:after="120" w:line="360" w:lineRule="auto"/>
        <w:ind w:left="0" w:firstLine="0"/>
        <w:jc w:val="both"/>
        <w:rPr>
          <w:rFonts w:ascii="Arial" w:eastAsia="Arial" w:hAnsi="Arial" w:cs="Arial"/>
          <w:color w:val="010000"/>
          <w:sz w:val="20"/>
          <w:szCs w:val="20"/>
        </w:rPr>
      </w:pPr>
      <w:r>
        <w:rPr>
          <w:rFonts w:ascii="Arial" w:hAnsi="Arial"/>
          <w:color w:val="010000"/>
          <w:sz w:val="20"/>
        </w:rPr>
        <w:t>Welfare fund (10%) VND 7,659,424,833</w:t>
      </w:r>
    </w:p>
    <w:p w14:paraId="00000014" w14:textId="77777777" w:rsidR="003C50DB" w:rsidRPr="00CF56AE" w:rsidRDefault="00CF56AE" w:rsidP="0077162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Development and investment fund (10%) VND 7,659,424,833</w:t>
      </w:r>
    </w:p>
    <w:p w14:paraId="00000015" w14:textId="77777777" w:rsidR="003C50DB" w:rsidRPr="00CF56AE" w:rsidRDefault="00CF56AE" w:rsidP="00771628">
      <w:pPr>
        <w:numPr>
          <w:ilvl w:val="0"/>
          <w:numId w:val="2"/>
        </w:numPr>
        <w:pBdr>
          <w:top w:val="nil"/>
          <w:left w:val="nil"/>
          <w:bottom w:val="nil"/>
          <w:right w:val="nil"/>
          <w:between w:val="nil"/>
        </w:pBdr>
        <w:tabs>
          <w:tab w:val="left" w:pos="432"/>
          <w:tab w:val="left" w:pos="6710"/>
        </w:tabs>
        <w:spacing w:after="120" w:line="360" w:lineRule="auto"/>
        <w:ind w:left="0" w:firstLine="0"/>
        <w:jc w:val="both"/>
        <w:rPr>
          <w:rFonts w:ascii="Arial" w:eastAsia="Arial" w:hAnsi="Arial" w:cs="Arial"/>
          <w:color w:val="010000"/>
          <w:sz w:val="20"/>
          <w:szCs w:val="20"/>
        </w:rPr>
      </w:pPr>
      <w:r>
        <w:rPr>
          <w:rFonts w:ascii="Arial" w:hAnsi="Arial"/>
          <w:color w:val="010000"/>
          <w:sz w:val="20"/>
        </w:rPr>
        <w:t>Dividend payout (20%) VND 39,022,778,000</w:t>
      </w:r>
    </w:p>
    <w:p w14:paraId="00000016" w14:textId="051909F2" w:rsidR="003C50DB" w:rsidRPr="00CF56AE" w:rsidRDefault="00CF56AE" w:rsidP="0077162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Exceeding the plan by 20% of profit before tax (the excess portion): 20% x (VND 84.6 billion - VND 70 billion) = VND 2,920,000,000.  </w:t>
      </w:r>
    </w:p>
    <w:p w14:paraId="00000017" w14:textId="77777777" w:rsidR="003C50DB" w:rsidRPr="00CF56AE" w:rsidRDefault="00CF56AE" w:rsidP="007716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Total undistributed profit after tax remaining to be carried forward to 2024: VND 35,772,698,174</w:t>
      </w:r>
    </w:p>
    <w:p w14:paraId="00000018" w14:textId="77777777" w:rsidR="003C50DB" w:rsidRPr="00CF56AE" w:rsidRDefault="00CF56AE" w:rsidP="007716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production and business plan in 2024</w:t>
      </w:r>
    </w:p>
    <w:p w14:paraId="00000019" w14:textId="77777777" w:rsidR="003C50DB" w:rsidRPr="00CF56AE" w:rsidRDefault="00CF56AE" w:rsidP="00771628">
      <w:pPr>
        <w:numPr>
          <w:ilvl w:val="0"/>
          <w:numId w:val="1"/>
        </w:numPr>
        <w:pBdr>
          <w:top w:val="nil"/>
          <w:left w:val="nil"/>
          <w:bottom w:val="nil"/>
          <w:right w:val="nil"/>
          <w:between w:val="nil"/>
        </w:pBdr>
        <w:tabs>
          <w:tab w:val="left" w:pos="432"/>
          <w:tab w:val="left" w:pos="2069"/>
        </w:tabs>
        <w:spacing w:after="120" w:line="360" w:lineRule="auto"/>
        <w:jc w:val="both"/>
        <w:rPr>
          <w:rFonts w:ascii="Arial" w:eastAsia="Arial" w:hAnsi="Arial" w:cs="Arial"/>
          <w:color w:val="010000"/>
          <w:sz w:val="20"/>
          <w:szCs w:val="20"/>
        </w:rPr>
      </w:pPr>
      <w:r>
        <w:rPr>
          <w:rFonts w:ascii="Arial" w:hAnsi="Arial"/>
          <w:color w:val="010000"/>
          <w:sz w:val="20"/>
        </w:rPr>
        <w:t>Processing production revenue: USD 17,500,000</w:t>
      </w:r>
    </w:p>
    <w:p w14:paraId="0000001A" w14:textId="77777777" w:rsidR="003C50DB" w:rsidRPr="00CF56AE" w:rsidRDefault="00CF56AE" w:rsidP="00771628">
      <w:pPr>
        <w:numPr>
          <w:ilvl w:val="0"/>
          <w:numId w:val="1"/>
        </w:numPr>
        <w:pBdr>
          <w:top w:val="nil"/>
          <w:left w:val="nil"/>
          <w:bottom w:val="nil"/>
          <w:right w:val="nil"/>
          <w:between w:val="nil"/>
        </w:pBdr>
        <w:tabs>
          <w:tab w:val="left" w:pos="432"/>
          <w:tab w:val="left" w:pos="2069"/>
        </w:tabs>
        <w:spacing w:after="120" w:line="360" w:lineRule="auto"/>
        <w:jc w:val="both"/>
        <w:rPr>
          <w:rFonts w:ascii="Arial" w:eastAsia="Arial" w:hAnsi="Arial" w:cs="Arial"/>
          <w:color w:val="010000"/>
          <w:sz w:val="20"/>
          <w:szCs w:val="20"/>
        </w:rPr>
      </w:pPr>
      <w:r>
        <w:rPr>
          <w:rFonts w:ascii="Arial" w:hAnsi="Arial"/>
          <w:color w:val="010000"/>
          <w:sz w:val="20"/>
        </w:rPr>
        <w:t>Consumption revenue VND 550 billion;</w:t>
      </w:r>
    </w:p>
    <w:p w14:paraId="0000001B" w14:textId="77777777" w:rsidR="003C50DB" w:rsidRPr="00CF56AE" w:rsidRDefault="00CF56AE" w:rsidP="00771628">
      <w:pPr>
        <w:numPr>
          <w:ilvl w:val="0"/>
          <w:numId w:val="1"/>
        </w:numPr>
        <w:pBdr>
          <w:top w:val="nil"/>
          <w:left w:val="nil"/>
          <w:bottom w:val="nil"/>
          <w:right w:val="nil"/>
          <w:between w:val="nil"/>
        </w:pBdr>
        <w:tabs>
          <w:tab w:val="left" w:pos="432"/>
          <w:tab w:val="left" w:pos="2069"/>
        </w:tabs>
        <w:spacing w:after="120" w:line="360" w:lineRule="auto"/>
        <w:jc w:val="both"/>
        <w:rPr>
          <w:rFonts w:ascii="Arial" w:eastAsia="Arial" w:hAnsi="Arial" w:cs="Arial"/>
          <w:color w:val="010000"/>
          <w:sz w:val="20"/>
          <w:szCs w:val="20"/>
        </w:rPr>
      </w:pPr>
      <w:r>
        <w:rPr>
          <w:rFonts w:ascii="Arial" w:hAnsi="Arial"/>
          <w:color w:val="010000"/>
          <w:sz w:val="20"/>
        </w:rPr>
        <w:lastRenderedPageBreak/>
        <w:t>Profit before tax: VND 55 billion</w:t>
      </w:r>
    </w:p>
    <w:p w14:paraId="0000001C" w14:textId="77777777" w:rsidR="003C50DB" w:rsidRPr="00CF56AE" w:rsidRDefault="00CF56AE" w:rsidP="00771628">
      <w:pPr>
        <w:numPr>
          <w:ilvl w:val="0"/>
          <w:numId w:val="1"/>
        </w:numPr>
        <w:pBdr>
          <w:top w:val="nil"/>
          <w:left w:val="nil"/>
          <w:bottom w:val="nil"/>
          <w:right w:val="nil"/>
          <w:between w:val="nil"/>
        </w:pBdr>
        <w:tabs>
          <w:tab w:val="left" w:pos="432"/>
          <w:tab w:val="left" w:pos="2069"/>
        </w:tabs>
        <w:spacing w:after="120" w:line="360" w:lineRule="auto"/>
        <w:jc w:val="both"/>
        <w:rPr>
          <w:rFonts w:ascii="Arial" w:eastAsia="Arial" w:hAnsi="Arial" w:cs="Arial"/>
          <w:color w:val="010000"/>
          <w:sz w:val="20"/>
          <w:szCs w:val="20"/>
        </w:rPr>
      </w:pPr>
      <w:r>
        <w:rPr>
          <w:rFonts w:ascii="Arial" w:hAnsi="Arial"/>
          <w:color w:val="010000"/>
          <w:sz w:val="20"/>
        </w:rPr>
        <w:t>Expected dividend payment: 15% of charter capital.</w:t>
      </w:r>
    </w:p>
    <w:p w14:paraId="0000001D" w14:textId="77777777" w:rsidR="003C50DB" w:rsidRPr="00CF56AE" w:rsidRDefault="00CF56AE" w:rsidP="007716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investment plan for 2024.</w:t>
      </w:r>
    </w:p>
    <w:p w14:paraId="0000001E" w14:textId="77777777" w:rsidR="003C50DB" w:rsidRPr="00CF56AE" w:rsidRDefault="00CF56AE" w:rsidP="00771628">
      <w:pPr>
        <w:numPr>
          <w:ilvl w:val="0"/>
          <w:numId w:val="1"/>
        </w:numPr>
        <w:pBdr>
          <w:top w:val="nil"/>
          <w:left w:val="nil"/>
          <w:bottom w:val="nil"/>
          <w:right w:val="nil"/>
          <w:between w:val="nil"/>
        </w:pBdr>
        <w:tabs>
          <w:tab w:val="left" w:pos="432"/>
          <w:tab w:val="left" w:pos="1882"/>
        </w:tabs>
        <w:spacing w:after="120" w:line="360" w:lineRule="auto"/>
        <w:jc w:val="both"/>
        <w:rPr>
          <w:rFonts w:ascii="Arial" w:eastAsia="Arial" w:hAnsi="Arial" w:cs="Arial"/>
          <w:color w:val="010000"/>
          <w:sz w:val="20"/>
          <w:szCs w:val="20"/>
        </w:rPr>
      </w:pPr>
      <w:r>
        <w:rPr>
          <w:rFonts w:ascii="Arial" w:hAnsi="Arial"/>
          <w:color w:val="010000"/>
          <w:sz w:val="20"/>
        </w:rPr>
        <w:t xml:space="preserve">Invest in equipment and technology innovation; repair workshops; survey and install solar power systems: The total expected investment value is about VND 30 billion. </w:t>
      </w:r>
    </w:p>
    <w:p w14:paraId="0000001F" w14:textId="2FD1153A" w:rsidR="003C50DB" w:rsidRPr="00CF56AE" w:rsidRDefault="00CF56AE" w:rsidP="00771628">
      <w:pPr>
        <w:numPr>
          <w:ilvl w:val="0"/>
          <w:numId w:val="1"/>
        </w:numPr>
        <w:pBdr>
          <w:top w:val="nil"/>
          <w:left w:val="nil"/>
          <w:bottom w:val="nil"/>
          <w:right w:val="nil"/>
          <w:between w:val="nil"/>
        </w:pBdr>
        <w:tabs>
          <w:tab w:val="left" w:pos="432"/>
          <w:tab w:val="left" w:pos="1877"/>
        </w:tabs>
        <w:spacing w:after="120" w:line="360" w:lineRule="auto"/>
        <w:jc w:val="both"/>
        <w:rPr>
          <w:rFonts w:ascii="Arial" w:eastAsia="Arial" w:hAnsi="Arial" w:cs="Arial"/>
          <w:color w:val="010000"/>
          <w:sz w:val="20"/>
          <w:szCs w:val="20"/>
        </w:rPr>
      </w:pPr>
      <w:r>
        <w:rPr>
          <w:rFonts w:ascii="Arial" w:hAnsi="Arial"/>
          <w:color w:val="010000"/>
          <w:sz w:val="20"/>
        </w:rPr>
        <w:t>Expected construc</w:t>
      </w:r>
      <w:r w:rsidR="00771628">
        <w:rPr>
          <w:rFonts w:ascii="Arial" w:hAnsi="Arial"/>
          <w:color w:val="010000"/>
          <w:sz w:val="20"/>
        </w:rPr>
        <w:t>tion of workshops + warehouses o</w:t>
      </w:r>
      <w:r>
        <w:rPr>
          <w:rFonts w:ascii="Arial" w:hAnsi="Arial"/>
          <w:color w:val="010000"/>
          <w:sz w:val="20"/>
        </w:rPr>
        <w:t xml:space="preserve">n Phan Dinh </w:t>
      </w:r>
      <w:proofErr w:type="spellStart"/>
      <w:r>
        <w:rPr>
          <w:rFonts w:ascii="Arial" w:hAnsi="Arial"/>
          <w:color w:val="010000"/>
          <w:sz w:val="20"/>
        </w:rPr>
        <w:t>Phung</w:t>
      </w:r>
      <w:proofErr w:type="spellEnd"/>
      <w:r>
        <w:rPr>
          <w:rFonts w:ascii="Arial" w:hAnsi="Arial"/>
          <w:color w:val="010000"/>
          <w:sz w:val="20"/>
        </w:rPr>
        <w:t xml:space="preserve"> (if the red book is completed): VND 60 billion;</w:t>
      </w:r>
    </w:p>
    <w:p w14:paraId="00000020" w14:textId="4AA70CFD" w:rsidR="003C50DB" w:rsidRPr="00CF56AE" w:rsidRDefault="00CF56AE" w:rsidP="00771628">
      <w:pPr>
        <w:numPr>
          <w:ilvl w:val="0"/>
          <w:numId w:val="1"/>
        </w:numPr>
        <w:pBdr>
          <w:top w:val="nil"/>
          <w:left w:val="nil"/>
          <w:bottom w:val="nil"/>
          <w:right w:val="nil"/>
          <w:between w:val="nil"/>
        </w:pBdr>
        <w:tabs>
          <w:tab w:val="left" w:pos="432"/>
          <w:tab w:val="left" w:pos="1882"/>
        </w:tabs>
        <w:spacing w:after="120" w:line="360" w:lineRule="auto"/>
        <w:jc w:val="both"/>
        <w:rPr>
          <w:rFonts w:ascii="Arial" w:eastAsia="Arial" w:hAnsi="Arial" w:cs="Arial"/>
          <w:color w:val="010000"/>
          <w:sz w:val="20"/>
          <w:szCs w:val="20"/>
        </w:rPr>
      </w:pPr>
      <w:r>
        <w:rPr>
          <w:rFonts w:ascii="Arial" w:hAnsi="Arial"/>
          <w:color w:val="010000"/>
          <w:sz w:val="20"/>
        </w:rPr>
        <w:t xml:space="preserve">Expected construction of an </w:t>
      </w:r>
      <w:r w:rsidR="00771628">
        <w:rPr>
          <w:rFonts w:ascii="Arial" w:hAnsi="Arial"/>
          <w:color w:val="010000"/>
          <w:sz w:val="20"/>
        </w:rPr>
        <w:t>apartment building for workers o</w:t>
      </w:r>
      <w:r>
        <w:rPr>
          <w:rFonts w:ascii="Arial" w:hAnsi="Arial"/>
          <w:color w:val="010000"/>
          <w:sz w:val="20"/>
        </w:rPr>
        <w:t xml:space="preserve">n Phan Dinh </w:t>
      </w:r>
      <w:proofErr w:type="spellStart"/>
      <w:r>
        <w:rPr>
          <w:rFonts w:ascii="Arial" w:hAnsi="Arial"/>
          <w:color w:val="010000"/>
          <w:sz w:val="20"/>
        </w:rPr>
        <w:t>Phung</w:t>
      </w:r>
      <w:proofErr w:type="spellEnd"/>
      <w:r>
        <w:rPr>
          <w:rFonts w:ascii="Arial" w:hAnsi="Arial"/>
          <w:color w:val="010000"/>
          <w:sz w:val="20"/>
        </w:rPr>
        <w:t xml:space="preserve"> (if approved by the Provincial People's Committee): funding from the welfare fund. </w:t>
      </w:r>
    </w:p>
    <w:p w14:paraId="00000021" w14:textId="77777777" w:rsidR="003C50DB" w:rsidRPr="00CF56AE" w:rsidRDefault="00CF56AE" w:rsidP="007716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Labor and Income in 2024</w:t>
      </w:r>
    </w:p>
    <w:p w14:paraId="00000022" w14:textId="77777777" w:rsidR="003C50DB" w:rsidRPr="00CF56AE" w:rsidRDefault="00CF56AE" w:rsidP="00771628">
      <w:pPr>
        <w:numPr>
          <w:ilvl w:val="0"/>
          <w:numId w:val="1"/>
        </w:numPr>
        <w:pBdr>
          <w:top w:val="nil"/>
          <w:left w:val="nil"/>
          <w:bottom w:val="nil"/>
          <w:right w:val="nil"/>
          <w:between w:val="nil"/>
        </w:pBdr>
        <w:tabs>
          <w:tab w:val="left" w:pos="432"/>
          <w:tab w:val="left" w:pos="1622"/>
        </w:tabs>
        <w:spacing w:after="120" w:line="360" w:lineRule="auto"/>
        <w:jc w:val="both"/>
        <w:rPr>
          <w:rFonts w:ascii="Arial" w:eastAsia="Arial" w:hAnsi="Arial" w:cs="Arial"/>
          <w:color w:val="010000"/>
          <w:sz w:val="20"/>
          <w:szCs w:val="20"/>
        </w:rPr>
      </w:pPr>
      <w:r>
        <w:rPr>
          <w:rFonts w:ascii="Arial" w:hAnsi="Arial"/>
          <w:color w:val="010000"/>
          <w:sz w:val="20"/>
        </w:rPr>
        <w:t>Average number of working employees:  1,850 persons.</w:t>
      </w:r>
    </w:p>
    <w:p w14:paraId="00000023" w14:textId="77777777" w:rsidR="003C50DB" w:rsidRPr="00CF56AE" w:rsidRDefault="00CF56AE" w:rsidP="00771628">
      <w:pPr>
        <w:numPr>
          <w:ilvl w:val="0"/>
          <w:numId w:val="1"/>
        </w:numPr>
        <w:pBdr>
          <w:top w:val="nil"/>
          <w:left w:val="nil"/>
          <w:bottom w:val="nil"/>
          <w:right w:val="nil"/>
          <w:between w:val="nil"/>
        </w:pBdr>
        <w:tabs>
          <w:tab w:val="left" w:pos="432"/>
          <w:tab w:val="left" w:pos="1627"/>
        </w:tabs>
        <w:spacing w:after="120" w:line="360" w:lineRule="auto"/>
        <w:jc w:val="both"/>
        <w:rPr>
          <w:rFonts w:ascii="Arial" w:eastAsia="Arial" w:hAnsi="Arial" w:cs="Arial"/>
          <w:color w:val="010000"/>
          <w:sz w:val="20"/>
          <w:szCs w:val="20"/>
        </w:rPr>
      </w:pPr>
      <w:r>
        <w:rPr>
          <w:rFonts w:ascii="Arial" w:hAnsi="Arial"/>
          <w:color w:val="010000"/>
          <w:sz w:val="20"/>
        </w:rPr>
        <w:t>Salary fund included in expenses payable to employees:  from 60% to 65%/production revenue.</w:t>
      </w:r>
    </w:p>
    <w:p w14:paraId="00000024" w14:textId="77777777" w:rsidR="003C50DB" w:rsidRPr="00CF56AE" w:rsidRDefault="00CF56AE" w:rsidP="00771628">
      <w:pPr>
        <w:numPr>
          <w:ilvl w:val="0"/>
          <w:numId w:val="1"/>
        </w:numPr>
        <w:pBdr>
          <w:top w:val="nil"/>
          <w:left w:val="nil"/>
          <w:bottom w:val="nil"/>
          <w:right w:val="nil"/>
          <w:between w:val="nil"/>
        </w:pBdr>
        <w:tabs>
          <w:tab w:val="left" w:pos="432"/>
          <w:tab w:val="left" w:pos="1627"/>
        </w:tabs>
        <w:spacing w:after="120" w:line="360" w:lineRule="auto"/>
        <w:jc w:val="both"/>
        <w:rPr>
          <w:rFonts w:ascii="Arial" w:eastAsia="Arial" w:hAnsi="Arial" w:cs="Arial"/>
          <w:color w:val="010000"/>
          <w:sz w:val="20"/>
          <w:szCs w:val="20"/>
        </w:rPr>
      </w:pPr>
      <w:r>
        <w:rPr>
          <w:rFonts w:ascii="Arial" w:hAnsi="Arial"/>
          <w:color w:val="010000"/>
          <w:sz w:val="20"/>
        </w:rPr>
        <w:t>Average income of employees per month VND 11,500,000 or more.</w:t>
      </w:r>
    </w:p>
    <w:p w14:paraId="00000025" w14:textId="77777777" w:rsidR="003C50DB" w:rsidRPr="00CF56AE" w:rsidRDefault="00CF56AE" w:rsidP="00771628">
      <w:pPr>
        <w:pBdr>
          <w:top w:val="nil"/>
          <w:left w:val="nil"/>
          <w:bottom w:val="nil"/>
          <w:right w:val="nil"/>
          <w:between w:val="nil"/>
        </w:pBdr>
        <w:tabs>
          <w:tab w:val="left" w:pos="432"/>
          <w:tab w:val="left" w:pos="10446"/>
        </w:tabs>
        <w:spacing w:after="120" w:line="360" w:lineRule="auto"/>
        <w:jc w:val="both"/>
        <w:rPr>
          <w:rFonts w:ascii="Arial" w:eastAsia="Arial" w:hAnsi="Arial" w:cs="Arial"/>
          <w:color w:val="010000"/>
          <w:sz w:val="20"/>
          <w:szCs w:val="20"/>
        </w:rPr>
      </w:pPr>
      <w:r>
        <w:rPr>
          <w:rFonts w:ascii="Arial" w:hAnsi="Arial"/>
          <w:color w:val="010000"/>
          <w:sz w:val="20"/>
        </w:rPr>
        <w:t xml:space="preserve">Article 5: Approve the settlement and approval of remuneration for the Board of Directors, Supervisory Board, secretariat, and rewards for staff. </w:t>
      </w:r>
    </w:p>
    <w:p w14:paraId="00000026" w14:textId="56051FDC" w:rsidR="003C50DB" w:rsidRPr="00CF56AE" w:rsidRDefault="00CF56AE" w:rsidP="007716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total annual remuneration fund for members of the Board of Di</w:t>
      </w:r>
      <w:r w:rsidR="00771628">
        <w:rPr>
          <w:rFonts w:ascii="Arial" w:hAnsi="Arial"/>
          <w:color w:val="010000"/>
          <w:sz w:val="20"/>
        </w:rPr>
        <w:t>rectors, Supervisory Board and S</w:t>
      </w:r>
      <w:r>
        <w:rPr>
          <w:rFonts w:ascii="Arial" w:hAnsi="Arial"/>
          <w:color w:val="010000"/>
          <w:sz w:val="20"/>
        </w:rPr>
        <w:t>ecretariat does not exceed 3% of the year's profit before tax, the remuneration level of each member will be decided by the Board of Directors.</w:t>
      </w:r>
    </w:p>
    <w:p w14:paraId="00000027" w14:textId="77777777" w:rsidR="003C50DB" w:rsidRPr="00CF56AE" w:rsidRDefault="00CF56AE" w:rsidP="007716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 2023, the Corporation paid remuneration to the Board of Directors and Supervisory Board in the amount of VND 2,318,844,444, equal to 91% of the allowed remuneration fund. </w:t>
      </w:r>
    </w:p>
    <w:p w14:paraId="00000028" w14:textId="77777777" w:rsidR="003C50DB" w:rsidRPr="00CF56AE" w:rsidRDefault="00CF56AE" w:rsidP="007716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total reward fund for exceeding the production and business plan for staff with outstanding achievements in the year is equal to 20% of the year's profit before tax calculated on the excess portion.</w:t>
      </w:r>
    </w:p>
    <w:p w14:paraId="00000029" w14:textId="77777777" w:rsidR="003C50DB" w:rsidRPr="00CF56AE" w:rsidRDefault="00CF56AE" w:rsidP="007716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6: Approve the plan to switch from the </w:t>
      </w:r>
      <w:proofErr w:type="spellStart"/>
      <w:r>
        <w:rPr>
          <w:rFonts w:ascii="Arial" w:hAnsi="Arial"/>
          <w:color w:val="010000"/>
          <w:sz w:val="20"/>
        </w:rPr>
        <w:t>Upcom</w:t>
      </w:r>
      <w:proofErr w:type="spellEnd"/>
      <w:r>
        <w:rPr>
          <w:rFonts w:ascii="Arial" w:hAnsi="Arial"/>
          <w:color w:val="010000"/>
          <w:sz w:val="20"/>
        </w:rPr>
        <w:t xml:space="preserve"> to listing on the HOSE.</w:t>
      </w:r>
    </w:p>
    <w:p w14:paraId="0000002A" w14:textId="5D4C6CE7" w:rsidR="003C50DB" w:rsidRPr="00CF56AE" w:rsidRDefault="00CF56AE" w:rsidP="007716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To enhance the company's position, the </w:t>
      </w:r>
      <w:r w:rsidR="00771628">
        <w:rPr>
          <w:rFonts w:ascii="Arial" w:hAnsi="Arial"/>
          <w:color w:val="010000"/>
          <w:sz w:val="20"/>
        </w:rPr>
        <w:t>General Meeting</w:t>
      </w:r>
      <w:r>
        <w:rPr>
          <w:rFonts w:ascii="Arial" w:hAnsi="Arial"/>
          <w:color w:val="010000"/>
          <w:sz w:val="20"/>
        </w:rPr>
        <w:t xml:space="preserve"> approves the plan to switch trading from </w:t>
      </w:r>
      <w:proofErr w:type="spellStart"/>
      <w:r>
        <w:rPr>
          <w:rFonts w:ascii="Arial" w:hAnsi="Arial"/>
          <w:color w:val="010000"/>
          <w:sz w:val="20"/>
        </w:rPr>
        <w:t>Upcom</w:t>
      </w:r>
      <w:proofErr w:type="spellEnd"/>
      <w:r>
        <w:rPr>
          <w:rFonts w:ascii="Arial" w:hAnsi="Arial"/>
          <w:color w:val="010000"/>
          <w:sz w:val="20"/>
        </w:rPr>
        <w:t xml:space="preserve"> to listing on the HOSE. The </w:t>
      </w:r>
      <w:r w:rsidR="00771628">
        <w:rPr>
          <w:rFonts w:ascii="Arial" w:hAnsi="Arial"/>
          <w:color w:val="010000"/>
          <w:sz w:val="20"/>
        </w:rPr>
        <w:t>General Meeting</w:t>
      </w:r>
      <w:r>
        <w:rPr>
          <w:rFonts w:ascii="Arial" w:hAnsi="Arial"/>
          <w:color w:val="010000"/>
          <w:sz w:val="20"/>
        </w:rPr>
        <w:t xml:space="preserve"> authorizes the Board of Directors to develop a plan, choose the appropriate time and organize the implementation in accordance with the law, HOSE regulations on listing conditions.</w:t>
      </w:r>
    </w:p>
    <w:p w14:paraId="0000002B" w14:textId="2D4094CB" w:rsidR="003C50DB" w:rsidRPr="00CF56AE" w:rsidRDefault="00CF56AE" w:rsidP="007716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selecting an audit company to audit the Financial Statements 2023.</w:t>
      </w:r>
    </w:p>
    <w:p w14:paraId="0000002C" w14:textId="498F56F9" w:rsidR="003C50DB" w:rsidRPr="00CF56AE" w:rsidRDefault="00CF56AE" w:rsidP="007716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771628">
        <w:rPr>
          <w:rFonts w:ascii="Arial" w:hAnsi="Arial"/>
          <w:color w:val="010000"/>
          <w:sz w:val="20"/>
        </w:rPr>
        <w:t>General Meeting</w:t>
      </w:r>
      <w:r>
        <w:rPr>
          <w:rFonts w:ascii="Arial" w:hAnsi="Arial"/>
          <w:color w:val="010000"/>
          <w:sz w:val="20"/>
        </w:rPr>
        <w:t xml:space="preserve"> authorizes the Board of Directors and the Supervisory Board to select an audit company for the Corporation's Financial Statements 2024 from the list of audit companies qualified to be approved by the State Securities Commission.</w:t>
      </w:r>
    </w:p>
    <w:p w14:paraId="0000002D" w14:textId="32FD3CF4" w:rsidR="003C50DB" w:rsidRPr="00CF56AE" w:rsidRDefault="00CF56AE" w:rsidP="007716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Approve the time of dividend payment</w:t>
      </w:r>
    </w:p>
    <w:p w14:paraId="0000002E" w14:textId="54AC2B25" w:rsidR="003C50DB" w:rsidRPr="00CF56AE" w:rsidRDefault="00CF56AE" w:rsidP="007716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Corporation will pay dividends to shareholders at the earliest 30 days and at the latest 60 days from the closing date of the Meeting (according to </w:t>
      </w:r>
      <w:r w:rsidR="00771628">
        <w:rPr>
          <w:rFonts w:ascii="Arial" w:hAnsi="Arial"/>
          <w:color w:val="010000"/>
          <w:sz w:val="20"/>
        </w:rPr>
        <w:t>Section 4</w:t>
      </w:r>
      <w:r>
        <w:rPr>
          <w:rFonts w:ascii="Arial" w:hAnsi="Arial"/>
          <w:color w:val="010000"/>
          <w:sz w:val="20"/>
        </w:rPr>
        <w:t xml:space="preserve"> Article 135 of the </w:t>
      </w:r>
      <w:r w:rsidR="00771628">
        <w:rPr>
          <w:rFonts w:ascii="Arial" w:hAnsi="Arial"/>
          <w:color w:val="010000"/>
          <w:sz w:val="20"/>
        </w:rPr>
        <w:t>Law on Enterprises</w:t>
      </w:r>
      <w:r>
        <w:rPr>
          <w:rFonts w:ascii="Arial" w:hAnsi="Arial"/>
          <w:color w:val="010000"/>
          <w:sz w:val="20"/>
        </w:rPr>
        <w:t xml:space="preserve"> No. </w:t>
      </w:r>
      <w:r>
        <w:rPr>
          <w:rFonts w:ascii="Arial" w:hAnsi="Arial"/>
          <w:color w:val="010000"/>
          <w:sz w:val="20"/>
        </w:rPr>
        <w:lastRenderedPageBreak/>
        <w:t xml:space="preserve">59/2020, dividends must be paid in full within 06 months from the closing date of the </w:t>
      </w:r>
      <w:r w:rsidR="00771628">
        <w:rPr>
          <w:rFonts w:ascii="Arial" w:hAnsi="Arial"/>
          <w:color w:val="010000"/>
          <w:sz w:val="20"/>
        </w:rPr>
        <w:t>General Meeting</w:t>
      </w:r>
      <w:r>
        <w:rPr>
          <w:rFonts w:ascii="Arial" w:hAnsi="Arial"/>
          <w:color w:val="010000"/>
          <w:sz w:val="20"/>
        </w:rPr>
        <w:t>.)</w:t>
      </w:r>
    </w:p>
    <w:p w14:paraId="0000002F" w14:textId="77777777" w:rsidR="003C50DB" w:rsidRPr="00CF56AE" w:rsidRDefault="00CF56AE" w:rsidP="007716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Terms of enforcement</w:t>
      </w:r>
    </w:p>
    <w:p w14:paraId="00000030" w14:textId="02DA724D" w:rsidR="003C50DB" w:rsidRPr="00CF56AE" w:rsidRDefault="00CF56AE" w:rsidP="007716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This General Mandate was unanimously approved by the Annual </w:t>
      </w:r>
      <w:r w:rsidR="00771628">
        <w:rPr>
          <w:rFonts w:ascii="Arial" w:hAnsi="Arial"/>
          <w:color w:val="010000"/>
          <w:sz w:val="20"/>
        </w:rPr>
        <w:t xml:space="preserve">General Meeting </w:t>
      </w:r>
      <w:r>
        <w:rPr>
          <w:rFonts w:ascii="Arial" w:hAnsi="Arial"/>
          <w:color w:val="010000"/>
          <w:sz w:val="20"/>
        </w:rPr>
        <w:t xml:space="preserve">2024 in its entirety at the Meeting and takes effect from the date of approval by the </w:t>
      </w:r>
      <w:r w:rsidR="00771628">
        <w:rPr>
          <w:rFonts w:ascii="Arial" w:hAnsi="Arial"/>
          <w:color w:val="010000"/>
          <w:sz w:val="20"/>
        </w:rPr>
        <w:t>General Meeting</w:t>
      </w:r>
      <w:r>
        <w:rPr>
          <w:rFonts w:ascii="Arial" w:hAnsi="Arial"/>
          <w:color w:val="010000"/>
          <w:sz w:val="20"/>
        </w:rPr>
        <w:t>.</w:t>
      </w:r>
    </w:p>
    <w:p w14:paraId="00000031" w14:textId="6D3E9CAB" w:rsidR="003C50DB" w:rsidRPr="00CF56AE" w:rsidRDefault="00CF56AE" w:rsidP="007716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Members of the Board of Dire</w:t>
      </w:r>
      <w:r w:rsidR="00771628">
        <w:rPr>
          <w:rFonts w:ascii="Arial" w:hAnsi="Arial"/>
          <w:color w:val="010000"/>
          <w:sz w:val="20"/>
        </w:rPr>
        <w:t>ctors, Supervisory Board and</w:t>
      </w:r>
      <w:r>
        <w:rPr>
          <w:rFonts w:ascii="Arial" w:hAnsi="Arial"/>
          <w:color w:val="010000"/>
          <w:sz w:val="20"/>
        </w:rPr>
        <w:t xml:space="preserve"> Executive Board and all shareholders of Hung Yen Garment Corporation - Joint Stock Company are responsible for implementing this General Mandate and organizing the implementation in accordance with their authority and functions </w:t>
      </w:r>
      <w:r w:rsidR="00771628">
        <w:rPr>
          <w:rFonts w:ascii="Arial" w:hAnsi="Arial"/>
          <w:color w:val="010000"/>
          <w:sz w:val="20"/>
        </w:rPr>
        <w:t>under applicable laws</w:t>
      </w:r>
      <w:r>
        <w:rPr>
          <w:rFonts w:ascii="Arial" w:hAnsi="Arial"/>
          <w:color w:val="010000"/>
          <w:sz w:val="20"/>
        </w:rPr>
        <w:t xml:space="preserve"> and the Charter on o</w:t>
      </w:r>
      <w:bookmarkStart w:id="1" w:name="_GoBack"/>
      <w:bookmarkEnd w:id="1"/>
      <w:r>
        <w:rPr>
          <w:rFonts w:ascii="Arial" w:hAnsi="Arial"/>
          <w:color w:val="010000"/>
          <w:sz w:val="20"/>
        </w:rPr>
        <w:t>rganization and operation</w:t>
      </w:r>
      <w:r w:rsidR="00771628">
        <w:rPr>
          <w:rFonts w:ascii="Arial" w:hAnsi="Arial"/>
          <w:color w:val="010000"/>
          <w:sz w:val="20"/>
        </w:rPr>
        <w:t>s</w:t>
      </w:r>
      <w:r>
        <w:rPr>
          <w:rFonts w:ascii="Arial" w:hAnsi="Arial"/>
          <w:color w:val="010000"/>
          <w:sz w:val="20"/>
        </w:rPr>
        <w:t xml:space="preserve"> of Hung Yen Garment Corporation - Joint Stock Company.</w:t>
      </w:r>
    </w:p>
    <w:sectPr w:rsidR="003C50DB" w:rsidRPr="00CF56AE" w:rsidSect="00CF56A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16EB1"/>
    <w:multiLevelType w:val="multilevel"/>
    <w:tmpl w:val="72104C6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A3E5FF6"/>
    <w:multiLevelType w:val="multilevel"/>
    <w:tmpl w:val="9956111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DB"/>
    <w:rsid w:val="003C50DB"/>
    <w:rsid w:val="00771628"/>
    <w:rsid w:val="00CF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76369"/>
  <w15:docId w15:val="{507E9E96-985D-4D1C-AB92-F9DCA00B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3"/>
      <w:szCs w:val="13"/>
      <w:u w:val="none"/>
      <w:shd w:val="clear" w:color="auto" w:fill="auto"/>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19" w:lineRule="auto"/>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30" w:lineRule="auto"/>
    </w:pPr>
    <w:rPr>
      <w:rFonts w:ascii="Times New Roman" w:eastAsia="Times New Roman" w:hAnsi="Times New Roman" w:cs="Times New Roman"/>
      <w:color w:val="FF0000"/>
      <w:sz w:val="13"/>
      <w:szCs w:val="13"/>
    </w:rPr>
  </w:style>
  <w:style w:type="paragraph" w:customStyle="1" w:styleId="Bodytext40">
    <w:name w:val="Body text (4)"/>
    <w:basedOn w:val="Normal"/>
    <w:link w:val="Bodytext4"/>
    <w:pPr>
      <w:jc w:val="right"/>
    </w:pPr>
    <w:rPr>
      <w:rFonts w:ascii="Calibri" w:eastAsia="Calibri" w:hAnsi="Calibri" w:cs="Calibri"/>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bYus185FUMlQtmjVp0RGbfZn2w==">CgMxLjAyCGguZ2pkZ3hzOAByITE5cnFGdkk4VXdSQXlPekloZmxtejJWMWpnUVBfbWRVSg==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2024-05-07T04:47:00Z</dcterms:created>
  <dcterms:modified xsi:type="dcterms:W3CDTF">2024-05-07T04:47:00Z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841e7f751d2c42d5e82c67800f3a932e3c2e37a9c5d1d18baaa364843f0fcf35</vt:lpwstr>
  </property>
</Properties>
</file>