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A7" w:rsidRPr="006258EF" w:rsidRDefault="006258EF" w:rsidP="006258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HWS: Annual General Mandate 2024</w:t>
      </w:r>
    </w:p>
    <w:p w:rsidR="004C2AA7" w:rsidRPr="006258EF" w:rsidRDefault="006258EF" w:rsidP="006258E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26, 2024, </w:t>
      </w:r>
      <w:proofErr w:type="spellStart"/>
      <w:r>
        <w:rPr>
          <w:rFonts w:ascii="Arial" w:hAnsi="Arial"/>
          <w:color w:val="010000"/>
          <w:sz w:val="20"/>
        </w:rPr>
        <w:t>Thua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Thien</w:t>
      </w:r>
      <w:proofErr w:type="spellEnd"/>
      <w:r>
        <w:rPr>
          <w:rFonts w:ascii="Arial" w:hAnsi="Arial"/>
          <w:color w:val="010000"/>
          <w:sz w:val="20"/>
        </w:rPr>
        <w:t xml:space="preserve"> Hue Water Supply Joint Stock Company announced General Mandate No. 40/NQ-DHDCD as follows:</w:t>
      </w:r>
    </w:p>
    <w:p w:rsidR="004C2AA7" w:rsidRPr="006258EF" w:rsidRDefault="006258EF" w:rsidP="006258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‎‎Article 1. The Annual General Meeting of Shareholders 2024 of </w:t>
      </w:r>
      <w:proofErr w:type="spellStart"/>
      <w:r>
        <w:rPr>
          <w:rFonts w:ascii="Arial" w:hAnsi="Arial"/>
          <w:color w:val="010000"/>
          <w:sz w:val="20"/>
        </w:rPr>
        <w:t>Thua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Thien</w:t>
      </w:r>
      <w:proofErr w:type="spellEnd"/>
      <w:r>
        <w:rPr>
          <w:rFonts w:ascii="Arial" w:hAnsi="Arial"/>
          <w:color w:val="010000"/>
          <w:sz w:val="20"/>
        </w:rPr>
        <w:t xml:space="preserve"> Hue Water Supply Joint Stock Company unanimously approve the following contents:</w:t>
      </w:r>
    </w:p>
    <w:p w:rsidR="004C2AA7" w:rsidRPr="006258EF" w:rsidRDefault="006258EF" w:rsidP="00625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results</w:t>
      </w:r>
      <w:r w:rsidR="00F9432C">
        <w:rPr>
          <w:rFonts w:ascii="Arial" w:hAnsi="Arial"/>
          <w:color w:val="010000"/>
          <w:sz w:val="20"/>
        </w:rPr>
        <w:t xml:space="preserve"> in 2023, plan for 2024 and </w:t>
      </w:r>
      <w:r>
        <w:rPr>
          <w:rFonts w:ascii="Arial" w:hAnsi="Arial"/>
          <w:color w:val="010000"/>
          <w:sz w:val="20"/>
        </w:rPr>
        <w:t xml:space="preserve">period 2024-2026 </w:t>
      </w:r>
    </w:p>
    <w:p w:rsidR="004C2AA7" w:rsidRPr="006258EF" w:rsidRDefault="006258EF" w:rsidP="00625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Results of financial work and profit distribution in 2023, financial plan and profit distribution in 2024; </w:t>
      </w:r>
    </w:p>
    <w:p w:rsidR="004C2AA7" w:rsidRPr="006258EF" w:rsidRDefault="006258EF" w:rsidP="006258E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Some targets and results achieved in 2023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0"/>
        <w:gridCol w:w="3131"/>
        <w:gridCol w:w="747"/>
        <w:gridCol w:w="1163"/>
        <w:gridCol w:w="1160"/>
        <w:gridCol w:w="1154"/>
        <w:gridCol w:w="1032"/>
      </w:tblGrid>
      <w:tr w:rsidR="004C2AA7" w:rsidRPr="006258EF" w:rsidTr="006258EF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2022</w:t>
            </w:r>
          </w:p>
          <w:p w:rsidR="004C2AA7" w:rsidRPr="006258EF" w:rsidRDefault="004C2AA7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in 2023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C2AA7" w:rsidRPr="006258EF" w:rsidRDefault="004C2AA7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2023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C2AA7" w:rsidRPr="006258EF" w:rsidRDefault="004C2AA7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2AA7" w:rsidRPr="006258EF" w:rsidTr="006258EF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Recorded water output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m3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56.94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57.65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60.98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105.78%</w:t>
            </w:r>
          </w:p>
        </w:tc>
      </w:tr>
      <w:tr w:rsidR="004C2AA7" w:rsidRPr="006258EF" w:rsidTr="006258EF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 + other income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606.76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622.57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661.54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106.26%</w:t>
            </w:r>
          </w:p>
        </w:tc>
      </w:tr>
      <w:tr w:rsidR="004C2AA7" w:rsidRPr="006258EF" w:rsidTr="006258EF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C2AA7" w:rsidRPr="006258EF" w:rsidRDefault="004C2AA7" w:rsidP="006258E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Clean water revenue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558.15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564.30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597.97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105.97%</w:t>
            </w:r>
          </w:p>
        </w:tc>
      </w:tr>
      <w:tr w:rsidR="004C2AA7" w:rsidRPr="006258EF" w:rsidTr="006258EF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C2AA7" w:rsidRPr="006258EF" w:rsidRDefault="004C2AA7" w:rsidP="006258E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Other revenue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48.61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58.27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63.56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109.09%</w:t>
            </w:r>
          </w:p>
        </w:tc>
      </w:tr>
      <w:tr w:rsidR="004C2AA7" w:rsidRPr="006258EF" w:rsidTr="006258EF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133.67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140.44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147.84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105.27%</w:t>
            </w:r>
          </w:p>
        </w:tc>
      </w:tr>
      <w:tr w:rsidR="004C2AA7" w:rsidRPr="006258EF" w:rsidTr="006258EF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118.16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124.25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127.91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102.95%</w:t>
            </w:r>
          </w:p>
        </w:tc>
      </w:tr>
      <w:tr w:rsidR="004C2AA7" w:rsidRPr="006258EF" w:rsidTr="006258EF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for dividend payment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78.64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78.64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83.01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105.56%</w:t>
            </w:r>
          </w:p>
        </w:tc>
      </w:tr>
      <w:tr w:rsidR="004C2AA7" w:rsidRPr="006258EF" w:rsidTr="006258EF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rate: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9.00%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9.00%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9.50%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C2AA7" w:rsidRPr="006258EF" w:rsidRDefault="004C2AA7" w:rsidP="006258E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2AA7" w:rsidRPr="006258EF" w:rsidTr="006258EF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assets: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2,038.26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2,145.93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2,032.65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94.72%</w:t>
            </w:r>
          </w:p>
        </w:tc>
      </w:tr>
      <w:tr w:rsidR="004C2AA7" w:rsidRPr="006258EF" w:rsidTr="006258EF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Charter capital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876.00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876.00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876.00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100.00%</w:t>
            </w:r>
          </w:p>
        </w:tc>
      </w:tr>
      <w:tr w:rsidR="004C2AA7" w:rsidRPr="006258EF" w:rsidTr="006258EF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 to the state budget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147.54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148.66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154.43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103.89%</w:t>
            </w:r>
          </w:p>
        </w:tc>
      </w:tr>
    </w:tbl>
    <w:p w:rsidR="004C2AA7" w:rsidRPr="006258EF" w:rsidRDefault="006258EF" w:rsidP="006258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FINANCIAL PLAN FOR 2024</w:t>
      </w:r>
    </w:p>
    <w:tbl>
      <w:tblPr>
        <w:tblStyle w:val="a0"/>
        <w:tblW w:w="5000" w:type="pct"/>
        <w:jc w:val="center"/>
        <w:tblLook w:val="0400" w:firstRow="0" w:lastRow="0" w:firstColumn="0" w:lastColumn="0" w:noHBand="0" w:noVBand="1"/>
      </w:tblPr>
      <w:tblGrid>
        <w:gridCol w:w="657"/>
        <w:gridCol w:w="3221"/>
        <w:gridCol w:w="781"/>
        <w:gridCol w:w="1288"/>
        <w:gridCol w:w="1288"/>
        <w:gridCol w:w="747"/>
        <w:gridCol w:w="1035"/>
      </w:tblGrid>
      <w:tr w:rsidR="004C2AA7" w:rsidRPr="006258EF" w:rsidTr="006258EF">
        <w:trPr>
          <w:jc w:val="center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7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2023</w:t>
            </w:r>
          </w:p>
          <w:p w:rsidR="004C2AA7" w:rsidRPr="006258EF" w:rsidRDefault="004C2AA7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for 2024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Comparison</w:t>
            </w:r>
          </w:p>
        </w:tc>
      </w:tr>
      <w:tr w:rsidR="004C2AA7" w:rsidRPr="006258EF" w:rsidTr="006258EF">
        <w:trPr>
          <w:jc w:val="center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4C2AA7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8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4C2AA7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4C2AA7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4C2AA7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4C2AA7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(+/-)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(%)</w:t>
            </w:r>
          </w:p>
        </w:tc>
      </w:tr>
      <w:tr w:rsidR="004C2AA7" w:rsidRPr="006258EF" w:rsidTr="006258E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Recorded water output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m3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60.98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62.44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1.46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2.40%</w:t>
            </w:r>
          </w:p>
        </w:tc>
      </w:tr>
      <w:tr w:rsidR="004C2AA7" w:rsidRPr="006258EF" w:rsidTr="006258E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 + other income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661.54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673.03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11.49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1.74%</w:t>
            </w:r>
          </w:p>
        </w:tc>
      </w:tr>
      <w:tr w:rsidR="004C2AA7" w:rsidRPr="006258EF" w:rsidTr="006258E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4C2AA7" w:rsidP="006258E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Clean water revenue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597.97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619.13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21.16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3.54%</w:t>
            </w:r>
          </w:p>
        </w:tc>
      </w:tr>
      <w:tr w:rsidR="004C2AA7" w:rsidRPr="006258EF" w:rsidTr="006258E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4C2AA7" w:rsidP="006258E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Other revenue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63.56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53.89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-9.67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-15.21%</w:t>
            </w:r>
          </w:p>
        </w:tc>
      </w:tr>
      <w:tr w:rsidR="004C2AA7" w:rsidRPr="006258EF" w:rsidTr="006258E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147.84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156.42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8.58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5.80%</w:t>
            </w:r>
          </w:p>
        </w:tc>
      </w:tr>
      <w:tr w:rsidR="004C2AA7" w:rsidRPr="006258EF" w:rsidTr="006258E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127.91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138.70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10.79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8.44%</w:t>
            </w:r>
          </w:p>
        </w:tc>
      </w:tr>
      <w:tr w:rsidR="004C2AA7" w:rsidRPr="006258EF" w:rsidTr="006258E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rate: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9.5%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9.0%-9.5%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4C2AA7" w:rsidP="006258E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4C2AA7" w:rsidP="006258E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2AA7" w:rsidRPr="006258EF" w:rsidTr="006258E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Charter capital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876.00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876.00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</w:tr>
      <w:tr w:rsidR="004C2AA7" w:rsidRPr="006258EF" w:rsidTr="006258E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 to the state budget (Amount payable)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154.43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151.74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-2.70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AA7" w:rsidRPr="006258EF" w:rsidRDefault="006258EF" w:rsidP="0062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-1.75%)</w:t>
            </w:r>
          </w:p>
        </w:tc>
      </w:tr>
    </w:tbl>
    <w:p w:rsidR="004C2AA7" w:rsidRPr="006258EF" w:rsidRDefault="006258EF" w:rsidP="00625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Salary and remuneration regime for members</w:t>
      </w:r>
      <w:r w:rsidR="00F9432C">
        <w:rPr>
          <w:rFonts w:ascii="Arial" w:hAnsi="Arial"/>
          <w:color w:val="010000"/>
          <w:sz w:val="20"/>
        </w:rPr>
        <w:t xml:space="preserve"> of the Board of Directors and Supervisory Board and the C</w:t>
      </w:r>
      <w:r>
        <w:rPr>
          <w:rFonts w:ascii="Arial" w:hAnsi="Arial"/>
          <w:color w:val="010000"/>
          <w:sz w:val="20"/>
        </w:rPr>
        <w:t>ompany’s secretariat in 2023 and plan for 2024</w:t>
      </w:r>
    </w:p>
    <w:p w:rsidR="004C2AA7" w:rsidRPr="006258EF" w:rsidRDefault="006258EF" w:rsidP="00625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Governance work in 2023 and operation orientation for 2024 of the Board of Directors </w:t>
      </w:r>
    </w:p>
    <w:p w:rsidR="004C2AA7" w:rsidRPr="006258EF" w:rsidRDefault="006258EF" w:rsidP="00625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Supervisory Board in 2023, plan for 2024 </w:t>
      </w:r>
    </w:p>
    <w:p w:rsidR="004C2AA7" w:rsidRPr="006258EF" w:rsidRDefault="006258EF" w:rsidP="00625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Selection of an audit company for the Financial Statements 2024;</w:t>
      </w:r>
    </w:p>
    <w:p w:rsidR="004C2AA7" w:rsidRPr="006258EF" w:rsidRDefault="006258EF" w:rsidP="00625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Plan on handling treasury shares </w:t>
      </w:r>
    </w:p>
    <w:p w:rsidR="004C2AA7" w:rsidRPr="006258EF" w:rsidRDefault="006258EF" w:rsidP="006258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Amendment and supplement to the Company’s Charter on Organization and Operation. </w:t>
      </w:r>
    </w:p>
    <w:p w:rsidR="004C2AA7" w:rsidRPr="006258EF" w:rsidRDefault="006258EF" w:rsidP="006258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This General Mandate takes effect from the date of its signing.</w:t>
      </w:r>
    </w:p>
    <w:p w:rsidR="004C2AA7" w:rsidRPr="006258EF" w:rsidRDefault="006258EF" w:rsidP="006258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3. Members</w:t>
      </w:r>
      <w:r w:rsidR="00F9432C">
        <w:rPr>
          <w:rFonts w:ascii="Arial" w:hAnsi="Arial"/>
          <w:color w:val="010000"/>
          <w:sz w:val="20"/>
        </w:rPr>
        <w:t xml:space="preserve"> of the Board of Directors,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Supervisory Board, and </w:t>
      </w:r>
      <w:r w:rsidR="00F9432C">
        <w:rPr>
          <w:rFonts w:ascii="Arial" w:hAnsi="Arial"/>
          <w:color w:val="010000"/>
          <w:sz w:val="20"/>
        </w:rPr>
        <w:t>Executive Board</w:t>
      </w:r>
      <w:r>
        <w:rPr>
          <w:rFonts w:ascii="Arial" w:hAnsi="Arial"/>
          <w:color w:val="010000"/>
          <w:sz w:val="20"/>
        </w:rPr>
        <w:t xml:space="preserve">, Heads of relevant departments and enterprises of the Company are responsible for implementing this General Mandate. </w:t>
      </w:r>
    </w:p>
    <w:sectPr w:rsidR="004C2AA7" w:rsidRPr="006258EF" w:rsidSect="006258E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7B93"/>
    <w:multiLevelType w:val="multilevel"/>
    <w:tmpl w:val="0B9A93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47B5739"/>
    <w:multiLevelType w:val="multilevel"/>
    <w:tmpl w:val="F240066E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A7"/>
    <w:rsid w:val="004C2AA7"/>
    <w:rsid w:val="006258EF"/>
    <w:rsid w:val="00CB2DA2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176B7"/>
  <w15:docId w15:val="{B8566210-9D4E-4698-AFA3-98856DF0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CD3554"/>
      <w:sz w:val="17"/>
      <w:szCs w:val="17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D3554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100"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Palatino Linotype" w:eastAsia="Palatino Linotype" w:hAnsi="Palatino Linotype" w:cs="Palatino Linotype"/>
      <w:color w:val="CD3554"/>
      <w:sz w:val="17"/>
      <w:szCs w:val="17"/>
    </w:rPr>
  </w:style>
  <w:style w:type="paragraph" w:customStyle="1" w:styleId="Tiu10">
    <w:name w:val="Tiêu đề #1"/>
    <w:basedOn w:val="Normal"/>
    <w:link w:val="Tiu1"/>
    <w:pPr>
      <w:spacing w:after="160" w:line="322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color w:val="CD3554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after="100" w:line="302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PZdF+1F+o9Y3rBBmoxtLqYTN2w==">CgMxLjA4AHIhMV9UV2V5Sm1XU1lYY2xfSDc5ZlVsM1hBenVWNkpKbkpX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2024-05-08T03:43:00Z</dcterms:created>
  <dcterms:modified xsi:type="dcterms:W3CDTF">2024-05-08T03:43:00Z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6b463eb289efe7b4bd7f8eb84f064bc04a88fdd7f16f2052a505d96cc945d1ad</vt:lpwstr>
  </property>
</Properties>
</file>