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ED" w:rsidRPr="006A5B83" w:rsidRDefault="006A5B83" w:rsidP="006C2B3D">
      <w:pPr>
        <w:keepNext/>
        <w:pBdr>
          <w:top w:val="nil"/>
          <w:left w:val="nil"/>
          <w:bottom w:val="nil"/>
          <w:right w:val="nil"/>
          <w:between w:val="nil"/>
        </w:pBdr>
        <w:tabs>
          <w:tab w:val="left" w:pos="4006"/>
        </w:tabs>
        <w:spacing w:after="120" w:line="360" w:lineRule="auto"/>
        <w:jc w:val="both"/>
        <w:rPr>
          <w:rFonts w:ascii="Arial" w:eastAsia="Arial" w:hAnsi="Arial" w:cs="Arial"/>
          <w:b/>
          <w:sz w:val="20"/>
          <w:szCs w:val="20"/>
        </w:rPr>
      </w:pPr>
      <w:r>
        <w:rPr>
          <w:rFonts w:ascii="Arial" w:hAnsi="Arial"/>
          <w:b/>
          <w:sz w:val="20"/>
        </w:rPr>
        <w:t>IBD: Annual General Mandate 2024</w:t>
      </w:r>
    </w:p>
    <w:p w:rsidR="009E23ED" w:rsidRPr="006A5B83" w:rsidRDefault="006A5B83" w:rsidP="006C2B3D">
      <w:pPr>
        <w:keepNext/>
        <w:pBdr>
          <w:top w:val="nil"/>
          <w:left w:val="nil"/>
          <w:bottom w:val="nil"/>
          <w:right w:val="nil"/>
          <w:between w:val="nil"/>
        </w:pBdr>
        <w:tabs>
          <w:tab w:val="left" w:pos="4006"/>
        </w:tabs>
        <w:spacing w:after="120" w:line="360" w:lineRule="auto"/>
        <w:jc w:val="both"/>
        <w:rPr>
          <w:rFonts w:ascii="Arial" w:eastAsia="Arial" w:hAnsi="Arial" w:cs="Arial"/>
          <w:sz w:val="20"/>
          <w:szCs w:val="20"/>
        </w:rPr>
      </w:pPr>
      <w:r>
        <w:rPr>
          <w:rFonts w:ascii="Arial" w:hAnsi="Arial"/>
          <w:sz w:val="20"/>
        </w:rPr>
        <w:t xml:space="preserve">On April 27, 2024, </w:t>
      </w:r>
      <w:proofErr w:type="spellStart"/>
      <w:r>
        <w:rPr>
          <w:rFonts w:ascii="Arial" w:hAnsi="Arial"/>
          <w:sz w:val="20"/>
        </w:rPr>
        <w:t>Binh</w:t>
      </w:r>
      <w:proofErr w:type="spellEnd"/>
      <w:r>
        <w:rPr>
          <w:rFonts w:ascii="Arial" w:hAnsi="Arial"/>
          <w:sz w:val="20"/>
        </w:rPr>
        <w:t xml:space="preserve"> Duong General Printing Joint Stock Company announced General Mandate No. 07/2024/NQ-DHDCD as follows:</w:t>
      </w:r>
    </w:p>
    <w:p w:rsidR="009E23ED" w:rsidRPr="006A5B83" w:rsidRDefault="006A5B83" w:rsidP="006C2B3D">
      <w:pPr>
        <w:keepNext/>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Report on production and business results in 2023 and the plan for 2024</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Meeting voted to approve the Report on production and business results in 2023 and the plan for 2024 as follows:</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7"/>
        <w:gridCol w:w="3659"/>
        <w:gridCol w:w="4820"/>
      </w:tblGrid>
      <w:tr w:rsidR="009E23ED" w:rsidRPr="006A5B83" w:rsidTr="006A5B83">
        <w:tc>
          <w:tcPr>
            <w:tcW w:w="29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029"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Targets</w:t>
            </w:r>
          </w:p>
        </w:tc>
        <w:tc>
          <w:tcPr>
            <w:tcW w:w="267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Results 2023 (Million VND)</w:t>
            </w:r>
          </w:p>
        </w:tc>
      </w:tr>
      <w:tr w:rsidR="009E23ED" w:rsidRPr="006A5B83" w:rsidTr="006A5B83">
        <w:tc>
          <w:tcPr>
            <w:tcW w:w="29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029"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w:t>
            </w:r>
          </w:p>
        </w:tc>
        <w:tc>
          <w:tcPr>
            <w:tcW w:w="267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89,243</w:t>
            </w:r>
          </w:p>
        </w:tc>
      </w:tr>
      <w:tr w:rsidR="009E23ED" w:rsidRPr="006A5B83" w:rsidTr="006A5B83">
        <w:tc>
          <w:tcPr>
            <w:tcW w:w="29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029"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Expenses</w:t>
            </w:r>
          </w:p>
        </w:tc>
        <w:tc>
          <w:tcPr>
            <w:tcW w:w="267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76,458</w:t>
            </w:r>
          </w:p>
        </w:tc>
      </w:tr>
      <w:tr w:rsidR="009E23ED" w:rsidRPr="006A5B83" w:rsidTr="006A5B83">
        <w:tc>
          <w:tcPr>
            <w:tcW w:w="29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029"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267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12,785</w:t>
            </w:r>
          </w:p>
        </w:tc>
      </w:tr>
      <w:tr w:rsidR="009E23ED" w:rsidRPr="006A5B83" w:rsidTr="006A5B83">
        <w:tc>
          <w:tcPr>
            <w:tcW w:w="29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2029"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267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10,186</w:t>
            </w:r>
          </w:p>
        </w:tc>
      </w:tr>
    </w:tbl>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7"/>
        <w:gridCol w:w="3614"/>
        <w:gridCol w:w="4815"/>
      </w:tblGrid>
      <w:tr w:rsidR="009E23ED" w:rsidRPr="006A5B83" w:rsidTr="006A5B83">
        <w:tc>
          <w:tcPr>
            <w:tcW w:w="32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00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Targets</w:t>
            </w:r>
          </w:p>
        </w:tc>
        <w:tc>
          <w:tcPr>
            <w:tcW w:w="2670"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Plan 2024 (Million VND)</w:t>
            </w:r>
          </w:p>
        </w:tc>
      </w:tr>
      <w:tr w:rsidR="009E23ED" w:rsidRPr="006A5B83" w:rsidTr="006A5B83">
        <w:tc>
          <w:tcPr>
            <w:tcW w:w="32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00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w:t>
            </w:r>
          </w:p>
        </w:tc>
        <w:tc>
          <w:tcPr>
            <w:tcW w:w="2670"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91,600</w:t>
            </w:r>
          </w:p>
        </w:tc>
      </w:tr>
      <w:tr w:rsidR="009E23ED" w:rsidRPr="006A5B83" w:rsidTr="006A5B83">
        <w:tc>
          <w:tcPr>
            <w:tcW w:w="32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00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Expenses</w:t>
            </w:r>
          </w:p>
        </w:tc>
        <w:tc>
          <w:tcPr>
            <w:tcW w:w="2670"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79,440</w:t>
            </w:r>
          </w:p>
        </w:tc>
      </w:tr>
      <w:tr w:rsidR="009E23ED" w:rsidRPr="006A5B83" w:rsidTr="006A5B83">
        <w:tc>
          <w:tcPr>
            <w:tcW w:w="32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00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2670"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12,160</w:t>
            </w:r>
          </w:p>
        </w:tc>
      </w:tr>
      <w:tr w:rsidR="009E23ED" w:rsidRPr="006A5B83" w:rsidTr="006A5B83">
        <w:tc>
          <w:tcPr>
            <w:tcW w:w="32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200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2670"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9,728</w:t>
            </w:r>
          </w:p>
        </w:tc>
      </w:tr>
    </w:tbl>
    <w:p w:rsidR="009E23ED" w:rsidRPr="006A5B83" w:rsidRDefault="006A5B83" w:rsidP="006C2B3D">
      <w:pPr>
        <w:keepNext/>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Report on activities of the Board of Directors in 2023 and the orientation for operation 2024;</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the Report on activities of the Supervisory Board in 2023</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4. Approve the Audited Financial Statements 2023</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5. Approve the selection of an audit company for the Company’s Financial Statement 2024.</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Meeting voted to approve authorizing the Board of Directors to select one out of 03 audit companies to audit the Company’s Financial Statements 2024 according to the request of the Supervisory Board as follows:</w:t>
      </w:r>
    </w:p>
    <w:p w:rsidR="009E23ED" w:rsidRPr="006A5B83" w:rsidRDefault="006A5B83" w:rsidP="006C2B3D">
      <w:pPr>
        <w:numPr>
          <w:ilvl w:val="0"/>
          <w:numId w:val="4"/>
        </w:numPr>
        <w:pBdr>
          <w:top w:val="nil"/>
          <w:left w:val="nil"/>
          <w:bottom w:val="nil"/>
          <w:right w:val="nil"/>
          <w:between w:val="nil"/>
        </w:pBdr>
        <w:tabs>
          <w:tab w:val="left" w:pos="1389"/>
        </w:tabs>
        <w:spacing w:after="120" w:line="360" w:lineRule="auto"/>
        <w:jc w:val="both"/>
        <w:rPr>
          <w:rFonts w:ascii="Arial" w:eastAsia="Arial" w:hAnsi="Arial" w:cs="Arial"/>
          <w:sz w:val="20"/>
          <w:szCs w:val="20"/>
        </w:rPr>
      </w:pPr>
      <w:r>
        <w:rPr>
          <w:rFonts w:ascii="Arial" w:hAnsi="Arial"/>
          <w:sz w:val="20"/>
        </w:rPr>
        <w:t>AASC Auditing Firm Company Limited.</w:t>
      </w:r>
    </w:p>
    <w:p w:rsidR="009E23ED" w:rsidRPr="006A5B83" w:rsidRDefault="006A5B83" w:rsidP="006C2B3D">
      <w:pPr>
        <w:numPr>
          <w:ilvl w:val="0"/>
          <w:numId w:val="4"/>
        </w:numPr>
        <w:pBdr>
          <w:top w:val="nil"/>
          <w:left w:val="nil"/>
          <w:bottom w:val="nil"/>
          <w:right w:val="nil"/>
          <w:between w:val="nil"/>
        </w:pBdr>
        <w:tabs>
          <w:tab w:val="left" w:pos="1389"/>
        </w:tabs>
        <w:spacing w:after="120" w:line="360" w:lineRule="auto"/>
        <w:jc w:val="both"/>
        <w:rPr>
          <w:rFonts w:ascii="Arial" w:eastAsia="Arial" w:hAnsi="Arial" w:cs="Arial"/>
          <w:sz w:val="20"/>
          <w:szCs w:val="20"/>
        </w:rPr>
      </w:pPr>
      <w:r>
        <w:rPr>
          <w:rFonts w:ascii="Arial" w:hAnsi="Arial"/>
          <w:sz w:val="20"/>
        </w:rPr>
        <w:t>VACO Auditing Company Limited.</w:t>
      </w:r>
    </w:p>
    <w:p w:rsidR="009E23ED" w:rsidRPr="006A5B83" w:rsidRDefault="006A5B83" w:rsidP="006C2B3D">
      <w:pPr>
        <w:numPr>
          <w:ilvl w:val="0"/>
          <w:numId w:val="4"/>
        </w:numPr>
        <w:pBdr>
          <w:top w:val="nil"/>
          <w:left w:val="nil"/>
          <w:bottom w:val="nil"/>
          <w:right w:val="nil"/>
          <w:between w:val="nil"/>
        </w:pBdr>
        <w:tabs>
          <w:tab w:val="left" w:pos="1389"/>
        </w:tabs>
        <w:spacing w:after="120" w:line="360" w:lineRule="auto"/>
        <w:jc w:val="both"/>
        <w:rPr>
          <w:rFonts w:ascii="Arial" w:eastAsia="Arial" w:hAnsi="Arial" w:cs="Arial"/>
          <w:sz w:val="20"/>
          <w:szCs w:val="20"/>
        </w:rPr>
      </w:pPr>
      <w:r>
        <w:rPr>
          <w:rFonts w:ascii="Arial" w:hAnsi="Arial"/>
          <w:sz w:val="20"/>
        </w:rPr>
        <w:t>A&amp;C Auditing and Consulting Company Limited.</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6. Approve the transaction agreement with </w:t>
      </w:r>
      <w:proofErr w:type="spellStart"/>
      <w:r>
        <w:rPr>
          <w:rFonts w:ascii="Arial" w:hAnsi="Arial"/>
          <w:sz w:val="20"/>
        </w:rPr>
        <w:t>Binh</w:t>
      </w:r>
      <w:proofErr w:type="spellEnd"/>
      <w:r>
        <w:rPr>
          <w:rFonts w:ascii="Arial" w:hAnsi="Arial"/>
          <w:sz w:val="20"/>
        </w:rPr>
        <w:t xml:space="preserve"> Duong Lottery Company Limited</w:t>
      </w:r>
    </w:p>
    <w:p w:rsidR="009E23ED" w:rsidRPr="006A5B83" w:rsidRDefault="006A5B83" w:rsidP="006C2B3D">
      <w:pPr>
        <w:numPr>
          <w:ilvl w:val="0"/>
          <w:numId w:val="4"/>
        </w:numPr>
        <w:pBdr>
          <w:top w:val="nil"/>
          <w:left w:val="nil"/>
          <w:bottom w:val="nil"/>
          <w:right w:val="nil"/>
          <w:between w:val="nil"/>
        </w:pBdr>
        <w:tabs>
          <w:tab w:val="left" w:pos="1389"/>
        </w:tabs>
        <w:spacing w:after="120" w:line="360" w:lineRule="auto"/>
        <w:jc w:val="both"/>
        <w:rPr>
          <w:rFonts w:ascii="Arial" w:eastAsia="Arial" w:hAnsi="Arial" w:cs="Arial"/>
          <w:sz w:val="20"/>
          <w:szCs w:val="20"/>
        </w:rPr>
      </w:pPr>
      <w:r>
        <w:rPr>
          <w:rFonts w:ascii="Arial" w:hAnsi="Arial"/>
          <w:sz w:val="20"/>
        </w:rPr>
        <w:t>Traditional lottery ticket printing</w:t>
      </w:r>
    </w:p>
    <w:p w:rsidR="009E23ED" w:rsidRPr="006A5B83" w:rsidRDefault="006A5B83" w:rsidP="006C2B3D">
      <w:pPr>
        <w:numPr>
          <w:ilvl w:val="0"/>
          <w:numId w:val="4"/>
        </w:numPr>
        <w:pBdr>
          <w:top w:val="nil"/>
          <w:left w:val="nil"/>
          <w:bottom w:val="nil"/>
          <w:right w:val="nil"/>
          <w:between w:val="nil"/>
        </w:pBdr>
        <w:tabs>
          <w:tab w:val="left" w:pos="1389"/>
        </w:tabs>
        <w:spacing w:after="120" w:line="360" w:lineRule="auto"/>
        <w:jc w:val="both"/>
        <w:rPr>
          <w:rFonts w:ascii="Arial" w:eastAsia="Arial" w:hAnsi="Arial" w:cs="Arial"/>
          <w:sz w:val="20"/>
          <w:szCs w:val="20"/>
        </w:rPr>
      </w:pPr>
      <w:r>
        <w:rPr>
          <w:rFonts w:ascii="Arial" w:hAnsi="Arial"/>
          <w:sz w:val="20"/>
        </w:rPr>
        <w:lastRenderedPageBreak/>
        <w:t>Transaction value: 54,112,108,800 (VAT and reserve expenses included)</w:t>
      </w:r>
    </w:p>
    <w:p w:rsidR="009E23ED" w:rsidRPr="006A5B83" w:rsidRDefault="006A5B83" w:rsidP="006C2B3D">
      <w:pPr>
        <w:numPr>
          <w:ilvl w:val="0"/>
          <w:numId w:val="4"/>
        </w:numPr>
        <w:pBdr>
          <w:top w:val="nil"/>
          <w:left w:val="nil"/>
          <w:bottom w:val="nil"/>
          <w:right w:val="nil"/>
          <w:between w:val="nil"/>
        </w:pBdr>
        <w:tabs>
          <w:tab w:val="left" w:pos="1389"/>
        </w:tabs>
        <w:spacing w:after="120" w:line="360" w:lineRule="auto"/>
        <w:jc w:val="both"/>
        <w:rPr>
          <w:rFonts w:ascii="Arial" w:eastAsia="Arial" w:hAnsi="Arial" w:cs="Arial"/>
          <w:sz w:val="20"/>
          <w:szCs w:val="20"/>
        </w:rPr>
      </w:pPr>
      <w:r>
        <w:rPr>
          <w:rFonts w:ascii="Arial" w:hAnsi="Arial"/>
          <w:sz w:val="20"/>
        </w:rPr>
        <w:t xml:space="preserve">The </w:t>
      </w:r>
      <w:r w:rsidR="006C2B3D">
        <w:rPr>
          <w:rFonts w:ascii="Arial" w:hAnsi="Arial"/>
          <w:sz w:val="20"/>
        </w:rPr>
        <w:t>General Meeting</w:t>
      </w:r>
      <w:r>
        <w:rPr>
          <w:rFonts w:ascii="Arial" w:hAnsi="Arial"/>
          <w:sz w:val="20"/>
        </w:rPr>
        <w:t xml:space="preserve"> authorized the Manager to sign and implement these above economic contracts </w:t>
      </w:r>
      <w:r w:rsidR="006C2B3D">
        <w:rPr>
          <w:rFonts w:ascii="Arial" w:hAnsi="Arial"/>
          <w:sz w:val="20"/>
        </w:rPr>
        <w:t>under applicable laws</w:t>
      </w:r>
      <w:r>
        <w:rPr>
          <w:rFonts w:ascii="Arial" w:hAnsi="Arial"/>
          <w:sz w:val="20"/>
        </w:rPr>
        <w:t xml:space="preserve"> and the Company’s Charter </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7. Approve the salary and remuneration payment for the Executive Board, the Board of Directors, and the Supervisory Board in 2023 and the plan for 2024</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salary and remuneration payment in accordance with the General Mandate 2023:</w:t>
      </w:r>
    </w:p>
    <w:tbl>
      <w:tblPr>
        <w:tblStyle w:val="a1"/>
        <w:tblW w:w="5000" w:type="pct"/>
        <w:tblLook w:val="0400" w:firstRow="0" w:lastRow="0" w:firstColumn="0" w:lastColumn="0" w:noHBand="0" w:noVBand="1"/>
      </w:tblPr>
      <w:tblGrid>
        <w:gridCol w:w="1023"/>
        <w:gridCol w:w="2207"/>
        <w:gridCol w:w="1012"/>
        <w:gridCol w:w="1150"/>
        <w:gridCol w:w="1877"/>
        <w:gridCol w:w="1747"/>
      </w:tblGrid>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Subjects</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Number of people</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Ratio/Profit after tax</w:t>
            </w: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General Mandate 2023 (VND)</w:t>
            </w: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Result (VND)</w:t>
            </w:r>
          </w:p>
        </w:tc>
      </w:tr>
      <w:tr w:rsidR="009E23ED" w:rsidRPr="006A5B83" w:rsidTr="006A5B83">
        <w:tc>
          <w:tcPr>
            <w:tcW w:w="1791" w:type="pct"/>
            <w:gridSpan w:val="2"/>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Salary of the Executive Board </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13.17%</w:t>
            </w: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819,985,813</w:t>
            </w: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819,985,813</w:t>
            </w:r>
          </w:p>
        </w:tc>
      </w:tr>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Manager</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Company’s Deputy Manager</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Chief Accountant</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1791" w:type="pct"/>
            <w:gridSpan w:val="2"/>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of the Board of Directors</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4.04%</w:t>
            </w: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251,358,528</w:t>
            </w: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251,358,528</w:t>
            </w:r>
          </w:p>
        </w:tc>
      </w:tr>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Chair of the Board of Directors</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Secretariat of the Board of Directors</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1791" w:type="pct"/>
            <w:gridSpan w:val="2"/>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of the Supervisory Board</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5.40%</w:t>
            </w: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336,471,529</w:t>
            </w: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336,471,529</w:t>
            </w:r>
          </w:p>
        </w:tc>
      </w:tr>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Chief of the Supervisory Board</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567"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22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Members of the Supervisory Board:</w:t>
            </w:r>
          </w:p>
        </w:tc>
        <w:tc>
          <w:tcPr>
            <w:tcW w:w="56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63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1041"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c>
          <w:tcPr>
            <w:tcW w:w="96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2990" w:type="pct"/>
            <w:gridSpan w:val="4"/>
            <w:tcBorders>
              <w:top w:val="single" w:sz="4" w:space="0" w:color="000000"/>
              <w:left w:val="single" w:sz="4" w:space="0" w:color="000000"/>
              <w:bottom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10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1,407,815,870</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1,407,815,870</w:t>
            </w:r>
          </w:p>
        </w:tc>
      </w:tr>
    </w:tbl>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salary and remuneration settlement plan 2024</w:t>
      </w:r>
    </w:p>
    <w:tbl>
      <w:tblPr>
        <w:tblStyle w:val="a2"/>
        <w:tblW w:w="5000" w:type="pct"/>
        <w:tblLook w:val="0400" w:firstRow="0" w:lastRow="0" w:firstColumn="0" w:lastColumn="0" w:noHBand="0" w:noVBand="1"/>
      </w:tblPr>
      <w:tblGrid>
        <w:gridCol w:w="620"/>
        <w:gridCol w:w="2178"/>
        <w:gridCol w:w="1015"/>
        <w:gridCol w:w="2153"/>
        <w:gridCol w:w="1883"/>
        <w:gridCol w:w="1167"/>
      </w:tblGrid>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Subjects</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Number of people</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Salary and remuneration (VND/person/month)</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Total amount</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Rate (%)</w:t>
            </w:r>
          </w:p>
        </w:tc>
      </w:tr>
      <w:tr w:rsidR="009E23ED" w:rsidRPr="006A5B83" w:rsidTr="006A5B83">
        <w:tc>
          <w:tcPr>
            <w:tcW w:w="3309" w:type="pct"/>
            <w:gridSpan w:val="4"/>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2024 according to the Plan</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9,728,000,000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3309" w:type="pct"/>
            <w:gridSpan w:val="4"/>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Salary of the Executive Board</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734,400,000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7.55%</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Manager</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25,100,000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301,200,000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3.10%</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Company’s Deputy Manager</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20,100,000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241,200,000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2.48%</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Chief Accountant</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16,000,000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192,000,000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1.97%</w:t>
            </w:r>
          </w:p>
        </w:tc>
      </w:tr>
      <w:tr w:rsidR="009E23ED" w:rsidRPr="006A5B83" w:rsidTr="006A5B83">
        <w:tc>
          <w:tcPr>
            <w:tcW w:w="3309" w:type="pct"/>
            <w:gridSpan w:val="4"/>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of the Board of Directors</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264,000,000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2.71%</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Chair of the Board of Directors</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5,000,000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60,000,000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0.62%</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Members of the Board of Directors in charge of finance</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8,000,000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96,000,000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0.99%</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Members of the Board of Directors</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4,500,000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108,000,000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1.11%</w:t>
            </w:r>
          </w:p>
        </w:tc>
      </w:tr>
      <w:tr w:rsidR="009E23ED" w:rsidRPr="006A5B83" w:rsidTr="006A5B83">
        <w:tc>
          <w:tcPr>
            <w:tcW w:w="3309" w:type="pct"/>
            <w:gridSpan w:val="4"/>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and remuneration of the Supervisory Board</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252,000,000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2.59%</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Chief of the Supervisory Board</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16,000,000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192,000,000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1.97%</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Members of the Supervisory Board</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60,000,000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0.62%</w:t>
            </w:r>
          </w:p>
        </w:tc>
      </w:tr>
      <w:tr w:rsidR="009E23ED" w:rsidRPr="006A5B83" w:rsidTr="006A5B83">
        <w:tc>
          <w:tcPr>
            <w:tcW w:w="3309" w:type="pct"/>
            <w:gridSpan w:val="4"/>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of the Secretariat of the Board of Directors:</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24,000,000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0.25%</w:t>
            </w:r>
          </w:p>
        </w:tc>
      </w:tr>
      <w:tr w:rsidR="009E23ED" w:rsidRPr="006A5B83" w:rsidTr="006A5B83">
        <w:tc>
          <w:tcPr>
            <w:tcW w:w="3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208"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Secretariat of the Board of Directors</w:t>
            </w:r>
          </w:p>
        </w:tc>
        <w:tc>
          <w:tcPr>
            <w:tcW w:w="563"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19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2,000,000</w:t>
            </w:r>
          </w:p>
        </w:tc>
        <w:tc>
          <w:tcPr>
            <w:tcW w:w="1044" w:type="pct"/>
            <w:tcBorders>
              <w:top w:val="single" w:sz="4" w:space="0" w:color="000000"/>
              <w:lef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24,000,000</w:t>
            </w:r>
          </w:p>
        </w:tc>
        <w:tc>
          <w:tcPr>
            <w:tcW w:w="6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0.25%</w:t>
            </w:r>
          </w:p>
        </w:tc>
      </w:tr>
      <w:tr w:rsidR="009E23ED" w:rsidRPr="006A5B83" w:rsidTr="006A5B83">
        <w:tc>
          <w:tcPr>
            <w:tcW w:w="3309" w:type="pct"/>
            <w:gridSpan w:val="4"/>
            <w:tcBorders>
              <w:top w:val="single" w:sz="4" w:space="0" w:color="000000"/>
              <w:left w:val="single" w:sz="4" w:space="0" w:color="000000"/>
              <w:bottom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10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1,274,400,000</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13.10%</w:t>
            </w:r>
          </w:p>
        </w:tc>
      </w:tr>
    </w:tbl>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Notes:</w:t>
      </w:r>
    </w:p>
    <w:p w:rsidR="009E23ED" w:rsidRPr="006A5B83" w:rsidRDefault="006A5B83" w:rsidP="006C2B3D">
      <w:pPr>
        <w:numPr>
          <w:ilvl w:val="0"/>
          <w:numId w:val="7"/>
        </w:numPr>
        <w:pBdr>
          <w:top w:val="nil"/>
          <w:left w:val="nil"/>
          <w:bottom w:val="nil"/>
          <w:right w:val="nil"/>
          <w:between w:val="nil"/>
        </w:pBdr>
        <w:tabs>
          <w:tab w:val="left" w:pos="139"/>
        </w:tabs>
        <w:spacing w:after="120" w:line="360" w:lineRule="auto"/>
        <w:jc w:val="both"/>
        <w:rPr>
          <w:rFonts w:ascii="Arial" w:eastAsia="Arial" w:hAnsi="Arial" w:cs="Arial"/>
          <w:sz w:val="20"/>
          <w:szCs w:val="20"/>
        </w:rPr>
      </w:pPr>
      <w:r>
        <w:rPr>
          <w:rFonts w:ascii="Arial" w:hAnsi="Arial"/>
          <w:sz w:val="20"/>
        </w:rPr>
        <w:t>The ratio is interpreted as: The ratio of salary and remuneration/ profit after tax.</w:t>
      </w:r>
    </w:p>
    <w:p w:rsidR="009E23ED" w:rsidRPr="006A5B83" w:rsidRDefault="006A5B83" w:rsidP="006C2B3D">
      <w:pPr>
        <w:numPr>
          <w:ilvl w:val="0"/>
          <w:numId w:val="7"/>
        </w:numPr>
        <w:pBdr>
          <w:top w:val="nil"/>
          <w:left w:val="nil"/>
          <w:bottom w:val="nil"/>
          <w:right w:val="nil"/>
          <w:between w:val="nil"/>
        </w:pBdr>
        <w:tabs>
          <w:tab w:val="left" w:pos="158"/>
        </w:tabs>
        <w:spacing w:after="120" w:line="360" w:lineRule="auto"/>
        <w:jc w:val="both"/>
        <w:rPr>
          <w:rFonts w:ascii="Arial" w:eastAsia="Arial" w:hAnsi="Arial" w:cs="Arial"/>
          <w:sz w:val="20"/>
          <w:szCs w:val="20"/>
        </w:rPr>
      </w:pPr>
      <w:r>
        <w:rPr>
          <w:rFonts w:ascii="Arial" w:hAnsi="Arial"/>
          <w:sz w:val="20"/>
        </w:rPr>
        <w:t xml:space="preserve">The realized salaries of the members have been settled according to the audited Financial Statements 2024 and the corresponding ratios are as above. </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 the profit distribution in 2023 and the profit distribution plan in 2024.</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distribution in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3"/>
        <w:gridCol w:w="5195"/>
        <w:gridCol w:w="1168"/>
        <w:gridCol w:w="2050"/>
      </w:tblGrid>
      <w:tr w:rsidR="009E23ED" w:rsidRPr="006A5B83" w:rsidTr="006A5B83">
        <w:tc>
          <w:tcPr>
            <w:tcW w:w="33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881"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Targets</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Rate</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Amount (VND)</w:t>
            </w:r>
          </w:p>
        </w:tc>
      </w:tr>
      <w:tr w:rsidR="009E23ED" w:rsidRPr="006A5B83" w:rsidTr="006A5B83">
        <w:tc>
          <w:tcPr>
            <w:tcW w:w="33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881"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Undistributed profit after tax 2022</w:t>
            </w:r>
          </w:p>
        </w:tc>
        <w:tc>
          <w:tcPr>
            <w:tcW w:w="648"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322,433,069</w:t>
            </w:r>
          </w:p>
        </w:tc>
      </w:tr>
      <w:tr w:rsidR="009E23ED" w:rsidRPr="006A5B83" w:rsidTr="006A5B83">
        <w:tc>
          <w:tcPr>
            <w:tcW w:w="33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881"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in 2023</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100%</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10,066,035,258</w:t>
            </w:r>
          </w:p>
        </w:tc>
      </w:tr>
      <w:tr w:rsidR="009E23ED" w:rsidRPr="006A5B83" w:rsidTr="006A5B83">
        <w:tc>
          <w:tcPr>
            <w:tcW w:w="33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lastRenderedPageBreak/>
              <w:t>3</w:t>
            </w:r>
          </w:p>
        </w:tc>
        <w:tc>
          <w:tcPr>
            <w:tcW w:w="2881"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undistributed profit after tax:</w:t>
            </w:r>
          </w:p>
        </w:tc>
        <w:tc>
          <w:tcPr>
            <w:tcW w:w="648"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10,388,468,327</w:t>
            </w:r>
          </w:p>
        </w:tc>
      </w:tr>
      <w:tr w:rsidR="009E23ED" w:rsidRPr="006A5B83" w:rsidTr="006A5B83">
        <w:tc>
          <w:tcPr>
            <w:tcW w:w="33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2881"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Distributed profit after tax 2023</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86.3%</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8,691,773,652</w:t>
            </w:r>
          </w:p>
        </w:tc>
      </w:tr>
      <w:tr w:rsidR="009E23ED" w:rsidRPr="006A5B83" w:rsidTr="006A5B83">
        <w:tc>
          <w:tcPr>
            <w:tcW w:w="334"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2881" w:type="pct"/>
            <w:shd w:val="clear" w:color="auto" w:fill="auto"/>
            <w:tcMar>
              <w:top w:w="0" w:type="dxa"/>
              <w:bottom w:w="0" w:type="dxa"/>
            </w:tcMar>
            <w:vAlign w:val="center"/>
          </w:tcPr>
          <w:p w:rsidR="009E23ED" w:rsidRPr="006A5B83" w:rsidRDefault="006A5B83" w:rsidP="006A5B83">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Investment and development fund.</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25.0%</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2,516,508,815</w:t>
            </w:r>
          </w:p>
        </w:tc>
      </w:tr>
      <w:tr w:rsidR="009E23ED" w:rsidRPr="006A5B83" w:rsidTr="006A5B83">
        <w:tc>
          <w:tcPr>
            <w:tcW w:w="334"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2881" w:type="pct"/>
            <w:shd w:val="clear" w:color="auto" w:fill="auto"/>
            <w:tcMar>
              <w:top w:w="0" w:type="dxa"/>
              <w:bottom w:w="0" w:type="dxa"/>
            </w:tcMar>
            <w:vAlign w:val="center"/>
          </w:tcPr>
          <w:p w:rsidR="009E23ED" w:rsidRPr="006A5B83" w:rsidRDefault="006A5B83" w:rsidP="006A5B83">
            <w:pPr>
              <w:numPr>
                <w:ilvl w:val="0"/>
                <w:numId w:val="5"/>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Bonus and welfare fund</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3.0%</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301,981,058</w:t>
            </w:r>
          </w:p>
        </w:tc>
      </w:tr>
      <w:tr w:rsidR="009E23ED" w:rsidRPr="006A5B83" w:rsidTr="006A5B83">
        <w:tc>
          <w:tcPr>
            <w:tcW w:w="334" w:type="pct"/>
            <w:shd w:val="clear" w:color="auto" w:fill="auto"/>
            <w:tcMar>
              <w:top w:w="0" w:type="dxa"/>
              <w:bottom w:w="0" w:type="dxa"/>
            </w:tcMar>
            <w:vAlign w:val="center"/>
          </w:tcPr>
          <w:p w:rsidR="009E23ED" w:rsidRPr="006A5B83" w:rsidRDefault="009E23ED" w:rsidP="006A5B83">
            <w:pPr>
              <w:spacing w:after="120" w:line="360" w:lineRule="auto"/>
              <w:rPr>
                <w:rFonts w:ascii="Arial" w:eastAsia="Arial" w:hAnsi="Arial" w:cs="Arial"/>
                <w:sz w:val="20"/>
                <w:szCs w:val="20"/>
              </w:rPr>
            </w:pPr>
          </w:p>
        </w:tc>
        <w:tc>
          <w:tcPr>
            <w:tcW w:w="2881" w:type="pct"/>
            <w:shd w:val="clear" w:color="auto" w:fill="auto"/>
            <w:tcMar>
              <w:top w:w="0" w:type="dxa"/>
              <w:bottom w:w="0" w:type="dxa"/>
            </w:tcMar>
            <w:vAlign w:val="center"/>
          </w:tcPr>
          <w:p w:rsidR="009E23ED" w:rsidRPr="006A5B83" w:rsidRDefault="006A5B83" w:rsidP="006A5B83">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Bonus for the Board of Directors, the Supervisory Board, and the Executive Board 30% of total profit after tax from sales activities exceeding the assigned plan</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1.81%</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182,296,654</w:t>
            </w:r>
          </w:p>
        </w:tc>
      </w:tr>
      <w:tr w:rsidR="009E23ED" w:rsidRPr="006A5B83" w:rsidTr="006A5B83">
        <w:tc>
          <w:tcPr>
            <w:tcW w:w="334" w:type="pct"/>
            <w:shd w:val="clear" w:color="auto" w:fill="auto"/>
            <w:tcMar>
              <w:top w:w="0" w:type="dxa"/>
              <w:bottom w:w="0" w:type="dxa"/>
            </w:tcMar>
            <w:vAlign w:val="center"/>
          </w:tcPr>
          <w:p w:rsidR="009E23ED" w:rsidRPr="006A5B83" w:rsidRDefault="009E23ED" w:rsidP="006A5B83">
            <w:pPr>
              <w:spacing w:after="120" w:line="360" w:lineRule="auto"/>
              <w:rPr>
                <w:rFonts w:ascii="Arial" w:eastAsia="Arial" w:hAnsi="Arial" w:cs="Arial"/>
                <w:sz w:val="20"/>
                <w:szCs w:val="20"/>
              </w:rPr>
            </w:pPr>
          </w:p>
        </w:tc>
        <w:tc>
          <w:tcPr>
            <w:tcW w:w="2881" w:type="pct"/>
            <w:shd w:val="clear" w:color="auto" w:fill="auto"/>
            <w:tcMar>
              <w:top w:w="0" w:type="dxa"/>
              <w:bottom w:w="0" w:type="dxa"/>
            </w:tcMar>
            <w:vAlign w:val="center"/>
          </w:tcPr>
          <w:p w:rsidR="009E23ED" w:rsidRPr="006A5B83" w:rsidRDefault="006A5B83" w:rsidP="006A5B83">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Remuneration payment for the Board of Directors, the Secretariat of the Board of Directors, and the Supervisory Board (non-executive)</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2.89%</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290,987,125</w:t>
            </w:r>
          </w:p>
        </w:tc>
      </w:tr>
      <w:tr w:rsidR="009E23ED" w:rsidRPr="006A5B83" w:rsidTr="006A5B83">
        <w:tc>
          <w:tcPr>
            <w:tcW w:w="334" w:type="pct"/>
            <w:shd w:val="clear" w:color="auto" w:fill="auto"/>
            <w:tcMar>
              <w:top w:w="0" w:type="dxa"/>
              <w:bottom w:w="0" w:type="dxa"/>
            </w:tcMar>
            <w:vAlign w:val="center"/>
          </w:tcPr>
          <w:p w:rsidR="009E23ED" w:rsidRPr="006A5B83" w:rsidRDefault="009E23ED" w:rsidP="006A5B83">
            <w:pPr>
              <w:spacing w:after="120" w:line="360" w:lineRule="auto"/>
              <w:rPr>
                <w:rFonts w:ascii="Arial" w:eastAsia="Arial" w:hAnsi="Arial" w:cs="Arial"/>
                <w:sz w:val="20"/>
                <w:szCs w:val="20"/>
              </w:rPr>
            </w:pPr>
          </w:p>
        </w:tc>
        <w:tc>
          <w:tcPr>
            <w:tcW w:w="2881" w:type="pct"/>
            <w:shd w:val="clear" w:color="auto" w:fill="auto"/>
            <w:tcMar>
              <w:top w:w="0" w:type="dxa"/>
              <w:bottom w:w="0" w:type="dxa"/>
            </w:tcMar>
            <w:vAlign w:val="center"/>
          </w:tcPr>
          <w:p w:rsidR="009E23ED" w:rsidRPr="006A5B83" w:rsidRDefault="006A5B83" w:rsidP="006A5B83">
            <w:pPr>
              <w:numPr>
                <w:ilvl w:val="0"/>
                <w:numId w:val="6"/>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Dividend payment (corresponding to the dividend rate of 6% of the par value of shares)</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53.6%</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5,400,000,000</w:t>
            </w:r>
          </w:p>
        </w:tc>
      </w:tr>
      <w:tr w:rsidR="009E23ED" w:rsidRPr="006A5B83" w:rsidTr="006A5B83">
        <w:tc>
          <w:tcPr>
            <w:tcW w:w="334" w:type="pct"/>
            <w:shd w:val="clear" w:color="auto" w:fill="auto"/>
            <w:tcMar>
              <w:top w:w="0" w:type="dxa"/>
              <w:bottom w:w="0" w:type="dxa"/>
            </w:tcMar>
            <w:vAlign w:val="center"/>
          </w:tcPr>
          <w:p w:rsidR="009E23ED" w:rsidRPr="006A5B83" w:rsidRDefault="006A5B83" w:rsidP="006A5B83">
            <w:pPr>
              <w:spacing w:after="120" w:line="360" w:lineRule="auto"/>
              <w:jc w:val="center"/>
              <w:rPr>
                <w:rFonts w:ascii="Arial" w:eastAsia="Arial" w:hAnsi="Arial" w:cs="Arial"/>
                <w:sz w:val="20"/>
                <w:szCs w:val="20"/>
              </w:rPr>
            </w:pPr>
            <w:r>
              <w:rPr>
                <w:rFonts w:ascii="Arial" w:hAnsi="Arial"/>
                <w:sz w:val="20"/>
              </w:rPr>
              <w:t>5</w:t>
            </w:r>
          </w:p>
        </w:tc>
        <w:tc>
          <w:tcPr>
            <w:tcW w:w="2881"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Undistributed profit after tax 2023</w:t>
            </w:r>
          </w:p>
        </w:tc>
        <w:tc>
          <w:tcPr>
            <w:tcW w:w="648"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13.7%</w:t>
            </w: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1,374,261,606</w:t>
            </w:r>
          </w:p>
        </w:tc>
      </w:tr>
      <w:tr w:rsidR="009E23ED" w:rsidRPr="006A5B83" w:rsidTr="006A5B83">
        <w:tc>
          <w:tcPr>
            <w:tcW w:w="334" w:type="pct"/>
            <w:shd w:val="clear" w:color="auto" w:fill="auto"/>
            <w:tcMar>
              <w:top w:w="0" w:type="dxa"/>
              <w:bottom w:w="0" w:type="dxa"/>
            </w:tcMar>
            <w:vAlign w:val="center"/>
          </w:tcPr>
          <w:p w:rsidR="009E23ED" w:rsidRPr="006A5B83" w:rsidRDefault="006A5B83" w:rsidP="006A5B83">
            <w:pPr>
              <w:spacing w:after="120" w:line="360" w:lineRule="auto"/>
              <w:jc w:val="center"/>
              <w:rPr>
                <w:rFonts w:ascii="Arial" w:eastAsia="Arial" w:hAnsi="Arial" w:cs="Arial"/>
                <w:sz w:val="20"/>
                <w:szCs w:val="20"/>
              </w:rPr>
            </w:pPr>
            <w:r>
              <w:rPr>
                <w:rFonts w:ascii="Arial" w:hAnsi="Arial"/>
                <w:sz w:val="20"/>
              </w:rPr>
              <w:t>6</w:t>
            </w:r>
          </w:p>
        </w:tc>
        <w:tc>
          <w:tcPr>
            <w:tcW w:w="2881"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Undistributed profit after tax</w:t>
            </w:r>
          </w:p>
        </w:tc>
        <w:tc>
          <w:tcPr>
            <w:tcW w:w="648" w:type="pct"/>
            <w:shd w:val="clear" w:color="auto" w:fill="auto"/>
            <w:tcMar>
              <w:top w:w="0" w:type="dxa"/>
              <w:bottom w:w="0" w:type="dxa"/>
            </w:tcMar>
            <w:vAlign w:val="center"/>
          </w:tcPr>
          <w:p w:rsidR="009E23ED" w:rsidRPr="006A5B83" w:rsidRDefault="009E23ED" w:rsidP="006A5B83">
            <w:pPr>
              <w:pBdr>
                <w:top w:val="nil"/>
                <w:left w:val="nil"/>
                <w:bottom w:val="nil"/>
                <w:right w:val="nil"/>
                <w:between w:val="nil"/>
              </w:pBdr>
              <w:spacing w:after="120" w:line="360" w:lineRule="auto"/>
              <w:jc w:val="center"/>
              <w:rPr>
                <w:rFonts w:ascii="Arial" w:eastAsia="Arial" w:hAnsi="Arial" w:cs="Arial"/>
                <w:sz w:val="20"/>
                <w:szCs w:val="20"/>
              </w:rPr>
            </w:pPr>
          </w:p>
        </w:tc>
        <w:tc>
          <w:tcPr>
            <w:tcW w:w="113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1,696,694,675</w:t>
            </w:r>
          </w:p>
        </w:tc>
      </w:tr>
    </w:tbl>
    <w:p w:rsidR="009E23ED" w:rsidRPr="006A5B83" w:rsidRDefault="006A5B83" w:rsidP="006C2B3D">
      <w:pPr>
        <w:pStyle w:val="ListParagraph"/>
        <w:numPr>
          <w:ilvl w:val="0"/>
          <w:numId w:val="9"/>
        </w:numPr>
        <w:pBdr>
          <w:top w:val="nil"/>
          <w:left w:val="nil"/>
          <w:bottom w:val="nil"/>
          <w:right w:val="nil"/>
          <w:between w:val="nil"/>
        </w:pBdr>
        <w:spacing w:after="120" w:line="360" w:lineRule="auto"/>
        <w:ind w:left="0" w:firstLine="0"/>
        <w:contextualSpacing w:val="0"/>
        <w:jc w:val="both"/>
        <w:rPr>
          <w:rFonts w:ascii="Arial" w:eastAsia="Arial" w:hAnsi="Arial" w:cs="Arial"/>
          <w:sz w:val="20"/>
          <w:szCs w:val="20"/>
        </w:rPr>
      </w:pPr>
      <w:r>
        <w:rPr>
          <w:rFonts w:ascii="Arial" w:hAnsi="Arial"/>
          <w:sz w:val="20"/>
        </w:rPr>
        <w:t>Explanation</w:t>
      </w:r>
    </w:p>
    <w:p w:rsidR="009E23ED" w:rsidRPr="006A5B83" w:rsidRDefault="006A5B83" w:rsidP="006C2B3D">
      <w:pPr>
        <w:numPr>
          <w:ilvl w:val="0"/>
          <w:numId w:val="8"/>
        </w:numPr>
        <w:pBdr>
          <w:top w:val="nil"/>
          <w:left w:val="nil"/>
          <w:bottom w:val="nil"/>
          <w:right w:val="nil"/>
          <w:between w:val="nil"/>
        </w:pBdr>
        <w:tabs>
          <w:tab w:val="left" w:pos="798"/>
        </w:tabs>
        <w:spacing w:after="120" w:line="360" w:lineRule="auto"/>
        <w:jc w:val="both"/>
        <w:rPr>
          <w:rFonts w:ascii="Arial" w:eastAsia="Arial" w:hAnsi="Arial" w:cs="Arial"/>
          <w:sz w:val="20"/>
          <w:szCs w:val="20"/>
        </w:rPr>
      </w:pPr>
      <w:r>
        <w:rPr>
          <w:rFonts w:ascii="Arial" w:hAnsi="Arial"/>
          <w:sz w:val="20"/>
        </w:rPr>
        <w:t>Profit after tax in 2023: VND 10,185,730,670</w:t>
      </w:r>
    </w:p>
    <w:p w:rsidR="009E23ED" w:rsidRPr="006A5B83" w:rsidRDefault="006A5B83" w:rsidP="006C2B3D">
      <w:pPr>
        <w:numPr>
          <w:ilvl w:val="0"/>
          <w:numId w:val="8"/>
        </w:numPr>
        <w:pBdr>
          <w:top w:val="nil"/>
          <w:left w:val="nil"/>
          <w:bottom w:val="nil"/>
          <w:right w:val="nil"/>
          <w:between w:val="nil"/>
        </w:pBdr>
        <w:tabs>
          <w:tab w:val="left" w:pos="812"/>
        </w:tabs>
        <w:spacing w:after="120" w:line="360" w:lineRule="auto"/>
        <w:jc w:val="both"/>
        <w:rPr>
          <w:rFonts w:ascii="Arial" w:eastAsia="Arial" w:hAnsi="Arial" w:cs="Arial"/>
          <w:sz w:val="20"/>
          <w:szCs w:val="20"/>
        </w:rPr>
      </w:pPr>
      <w:r>
        <w:rPr>
          <w:rFonts w:ascii="Arial" w:hAnsi="Arial"/>
          <w:sz w:val="20"/>
        </w:rPr>
        <w:t>Minus the difference in salaries of the Executive Board and the executive Supervisor: VND 119,695,412</w:t>
      </w:r>
    </w:p>
    <w:p w:rsidR="009E23ED" w:rsidRPr="006A5B83" w:rsidRDefault="006A5B83" w:rsidP="006C2B3D">
      <w:pPr>
        <w:numPr>
          <w:ilvl w:val="0"/>
          <w:numId w:val="8"/>
        </w:numPr>
        <w:pBdr>
          <w:top w:val="nil"/>
          <w:left w:val="nil"/>
          <w:bottom w:val="nil"/>
          <w:right w:val="nil"/>
          <w:between w:val="nil"/>
        </w:pBdr>
        <w:tabs>
          <w:tab w:val="left" w:pos="812"/>
        </w:tabs>
        <w:spacing w:after="120" w:line="360" w:lineRule="auto"/>
        <w:jc w:val="both"/>
        <w:rPr>
          <w:rFonts w:ascii="Arial" w:eastAsia="Arial" w:hAnsi="Arial" w:cs="Arial"/>
          <w:sz w:val="20"/>
          <w:szCs w:val="20"/>
        </w:rPr>
      </w:pPr>
      <w:r>
        <w:rPr>
          <w:rFonts w:ascii="Arial" w:hAnsi="Arial"/>
          <w:sz w:val="20"/>
        </w:rPr>
        <w:t>Remaining undistributed profit after tax 2023 Total VND 10,066,035,258</w:t>
      </w:r>
    </w:p>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distribution plan for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0"/>
        <w:gridCol w:w="5217"/>
        <w:gridCol w:w="1233"/>
        <w:gridCol w:w="1976"/>
      </w:tblGrid>
      <w:tr w:rsidR="009E23ED" w:rsidRPr="006A5B83" w:rsidTr="006A5B83">
        <w:tc>
          <w:tcPr>
            <w:tcW w:w="32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Targets</w:t>
            </w:r>
          </w:p>
        </w:tc>
        <w:tc>
          <w:tcPr>
            <w:tcW w:w="68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Rate</w:t>
            </w: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Amount (VND)</w:t>
            </w:r>
          </w:p>
        </w:tc>
      </w:tr>
      <w:tr w:rsidR="009E23ED" w:rsidRPr="006A5B83" w:rsidTr="006A5B83">
        <w:tc>
          <w:tcPr>
            <w:tcW w:w="32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Undistributed profit after tax 2023</w:t>
            </w:r>
          </w:p>
        </w:tc>
        <w:tc>
          <w:tcPr>
            <w:tcW w:w="684"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1,696,694,675</w:t>
            </w:r>
          </w:p>
        </w:tc>
      </w:tr>
      <w:tr w:rsidR="009E23ED" w:rsidRPr="006A5B83" w:rsidTr="006A5B83">
        <w:tc>
          <w:tcPr>
            <w:tcW w:w="32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in 2024</w:t>
            </w:r>
          </w:p>
        </w:tc>
        <w:tc>
          <w:tcPr>
            <w:tcW w:w="684"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9,728,000,000</w:t>
            </w:r>
          </w:p>
        </w:tc>
      </w:tr>
      <w:tr w:rsidR="009E23ED" w:rsidRPr="006A5B83" w:rsidTr="006A5B83">
        <w:tc>
          <w:tcPr>
            <w:tcW w:w="32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Distributed profit after tax in 2024</w:t>
            </w:r>
          </w:p>
        </w:tc>
        <w:tc>
          <w:tcPr>
            <w:tcW w:w="68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73.59%</w:t>
            </w: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7,158,400,000</w:t>
            </w:r>
          </w:p>
        </w:tc>
      </w:tr>
      <w:tr w:rsidR="009E23ED" w:rsidRPr="006A5B83" w:rsidTr="006A5B83">
        <w:tc>
          <w:tcPr>
            <w:tcW w:w="327"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Investment and development fund.</w:t>
            </w:r>
          </w:p>
        </w:tc>
        <w:tc>
          <w:tcPr>
            <w:tcW w:w="68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30.0%</w:t>
            </w: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2,918,400,000</w:t>
            </w:r>
          </w:p>
        </w:tc>
      </w:tr>
      <w:tr w:rsidR="009E23ED" w:rsidRPr="006A5B83" w:rsidTr="006A5B83">
        <w:tc>
          <w:tcPr>
            <w:tcW w:w="327"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Bonus and welfare fund</w:t>
            </w:r>
          </w:p>
        </w:tc>
        <w:tc>
          <w:tcPr>
            <w:tcW w:w="68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3.0%</w:t>
            </w: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292,000,000</w:t>
            </w:r>
          </w:p>
        </w:tc>
      </w:tr>
      <w:tr w:rsidR="009E23ED" w:rsidRPr="006A5B83" w:rsidTr="006A5B83">
        <w:tc>
          <w:tcPr>
            <w:tcW w:w="327"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Remuneration payment for the Board of Directors, the Secretariat of the Board of Directors, and the Supervisory Board (non-executive)</w:t>
            </w:r>
          </w:p>
        </w:tc>
        <w:tc>
          <w:tcPr>
            <w:tcW w:w="68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3.6%</w:t>
            </w: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348,000,000</w:t>
            </w:r>
          </w:p>
        </w:tc>
      </w:tr>
      <w:tr w:rsidR="009E23ED" w:rsidRPr="006A5B83" w:rsidTr="006A5B83">
        <w:tc>
          <w:tcPr>
            <w:tcW w:w="327"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Bonus for the Board of Directors, the Supervisory Board, and the Executive Board 30% of total profit after tax from sales activities exceeding the assigned plan</w:t>
            </w:r>
          </w:p>
        </w:tc>
        <w:tc>
          <w:tcPr>
            <w:tcW w:w="684"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1096" w:type="pct"/>
            <w:shd w:val="clear" w:color="auto" w:fill="auto"/>
            <w:tcMar>
              <w:top w:w="0" w:type="dxa"/>
              <w:bottom w:w="0" w:type="dxa"/>
            </w:tcMar>
            <w:vAlign w:val="center"/>
          </w:tcPr>
          <w:p w:rsidR="009E23ED" w:rsidRPr="006A5B83" w:rsidRDefault="009E23ED" w:rsidP="006A5B83">
            <w:pPr>
              <w:spacing w:after="120" w:line="360" w:lineRule="auto"/>
              <w:jc w:val="right"/>
              <w:rPr>
                <w:rFonts w:ascii="Arial" w:eastAsia="Arial" w:hAnsi="Arial" w:cs="Arial"/>
                <w:sz w:val="20"/>
                <w:szCs w:val="20"/>
              </w:rPr>
            </w:pPr>
          </w:p>
        </w:tc>
      </w:tr>
      <w:tr w:rsidR="009E23ED" w:rsidRPr="006A5B83" w:rsidTr="006A5B83">
        <w:tc>
          <w:tcPr>
            <w:tcW w:w="327"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Dividend payment (corresponding to the dividend rate of 4% of the par value of shares)</w:t>
            </w:r>
          </w:p>
        </w:tc>
        <w:tc>
          <w:tcPr>
            <w:tcW w:w="68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37.0%</w:t>
            </w: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3,600,000,000</w:t>
            </w:r>
          </w:p>
        </w:tc>
      </w:tr>
      <w:tr w:rsidR="009E23ED" w:rsidRPr="006A5B83" w:rsidTr="006A5B83">
        <w:tc>
          <w:tcPr>
            <w:tcW w:w="32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Undistributed profit after tax in 2024</w:t>
            </w:r>
          </w:p>
        </w:tc>
        <w:tc>
          <w:tcPr>
            <w:tcW w:w="684"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26.4%</w:t>
            </w: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2,569,600,000</w:t>
            </w:r>
          </w:p>
        </w:tc>
      </w:tr>
      <w:tr w:rsidR="009E23ED" w:rsidRPr="006A5B83" w:rsidTr="006A5B83">
        <w:tc>
          <w:tcPr>
            <w:tcW w:w="327"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2893"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undistributed profit after tax:</w:t>
            </w:r>
          </w:p>
        </w:tc>
        <w:tc>
          <w:tcPr>
            <w:tcW w:w="684" w:type="pct"/>
            <w:shd w:val="clear" w:color="auto" w:fill="auto"/>
            <w:tcMar>
              <w:top w:w="0" w:type="dxa"/>
              <w:bottom w:w="0" w:type="dxa"/>
            </w:tcMar>
            <w:vAlign w:val="center"/>
          </w:tcPr>
          <w:p w:rsidR="009E23ED" w:rsidRPr="006A5B83" w:rsidRDefault="009E23ED" w:rsidP="006A5B83">
            <w:pPr>
              <w:spacing w:after="120" w:line="360" w:lineRule="auto"/>
              <w:jc w:val="center"/>
              <w:rPr>
                <w:rFonts w:ascii="Arial" w:eastAsia="Arial" w:hAnsi="Arial" w:cs="Arial"/>
                <w:sz w:val="20"/>
                <w:szCs w:val="20"/>
              </w:rPr>
            </w:pPr>
          </w:p>
        </w:tc>
        <w:tc>
          <w:tcPr>
            <w:tcW w:w="1096" w:type="pct"/>
            <w:shd w:val="clear" w:color="auto" w:fill="auto"/>
            <w:tcMar>
              <w:top w:w="0" w:type="dxa"/>
              <w:bottom w:w="0" w:type="dxa"/>
            </w:tcMar>
            <w:vAlign w:val="center"/>
          </w:tcPr>
          <w:p w:rsidR="009E23ED" w:rsidRPr="006A5B83" w:rsidRDefault="006A5B83" w:rsidP="006A5B8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4,266,294,675</w:t>
            </w:r>
          </w:p>
        </w:tc>
      </w:tr>
    </w:tbl>
    <w:p w:rsidR="009E23ED" w:rsidRPr="006A5B83" w:rsidRDefault="006A5B83" w:rsidP="006C2B3D">
      <w:pPr>
        <w:keepNext/>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This General Mandate takes effect from April 27, 2024</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Board of Directors are responsible for sending the General Mandate to all shareholders and publishing it on the Company's website in accordance with the provisions of law.</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10. Responsibility for disseminating and implementing this General Mandate.</w:t>
      </w:r>
    </w:p>
    <w:p w:rsidR="009E23ED" w:rsidRPr="006A5B83" w:rsidRDefault="006A5B83" w:rsidP="006C2B3D">
      <w:pPr>
        <w:pBdr>
          <w:top w:val="nil"/>
          <w:left w:val="nil"/>
          <w:bottom w:val="nil"/>
          <w:right w:val="nil"/>
          <w:between w:val="nil"/>
        </w:pBdr>
        <w:spacing w:after="120" w:line="360" w:lineRule="auto"/>
        <w:jc w:val="both"/>
        <w:rPr>
          <w:rFonts w:ascii="Arial" w:eastAsia="Arial" w:hAnsi="Arial" w:cs="Arial"/>
          <w:sz w:val="20"/>
          <w:szCs w:val="20"/>
        </w:rPr>
        <w:sectPr w:rsidR="009E23ED" w:rsidRPr="006A5B83" w:rsidSect="006A5B83">
          <w:type w:val="continuous"/>
          <w:pgSz w:w="11906" w:h="16838"/>
          <w:pgMar w:top="1440" w:right="1440" w:bottom="1440" w:left="1440" w:header="0" w:footer="3" w:gutter="0"/>
          <w:cols w:space="720"/>
          <w:docGrid w:linePitch="326"/>
        </w:sectPr>
      </w:pPr>
      <w:r>
        <w:rPr>
          <w:rFonts w:ascii="Arial" w:hAnsi="Arial"/>
          <w:sz w:val="20"/>
        </w:rPr>
        <w:t>The Meeting approves to as</w:t>
      </w:r>
      <w:r w:rsidR="006C2B3D">
        <w:rPr>
          <w:rFonts w:ascii="Arial" w:hAnsi="Arial"/>
          <w:sz w:val="20"/>
        </w:rPr>
        <w:t xml:space="preserve">sign the Board of Directors, Supervisory Board and </w:t>
      </w:r>
      <w:bookmarkStart w:id="0" w:name="_GoBack"/>
      <w:bookmarkEnd w:id="0"/>
      <w:r>
        <w:rPr>
          <w:rFonts w:ascii="Arial" w:hAnsi="Arial"/>
          <w:sz w:val="20"/>
        </w:rPr>
        <w:t>Executive Board to disseminate, implement, as well as inspect and supervise the implementation of this General Mandate.</w:t>
      </w:r>
    </w:p>
    <w:p w:rsidR="009E23ED" w:rsidRPr="006A5B83" w:rsidRDefault="009E23ED" w:rsidP="006C2B3D">
      <w:pPr>
        <w:spacing w:after="120" w:line="360" w:lineRule="auto"/>
        <w:jc w:val="both"/>
        <w:rPr>
          <w:rFonts w:ascii="Arial" w:eastAsia="Arial" w:hAnsi="Arial" w:cs="Arial"/>
          <w:sz w:val="20"/>
          <w:szCs w:val="20"/>
        </w:rPr>
      </w:pPr>
    </w:p>
    <w:sectPr w:rsidR="009E23ED" w:rsidRPr="006A5B83" w:rsidSect="006A5B83">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4E8"/>
    <w:multiLevelType w:val="multilevel"/>
    <w:tmpl w:val="AE8E159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E44E8B"/>
    <w:multiLevelType w:val="multilevel"/>
    <w:tmpl w:val="C1BA7C6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AD04CB"/>
    <w:multiLevelType w:val="multilevel"/>
    <w:tmpl w:val="9D1EED1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A13ACB"/>
    <w:multiLevelType w:val="multilevel"/>
    <w:tmpl w:val="F03A64E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81FFF"/>
    <w:multiLevelType w:val="multilevel"/>
    <w:tmpl w:val="C7104B9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7F0E10"/>
    <w:multiLevelType w:val="multilevel"/>
    <w:tmpl w:val="04C682C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6E062E9"/>
    <w:multiLevelType w:val="multilevel"/>
    <w:tmpl w:val="8D349C8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7A0835"/>
    <w:multiLevelType w:val="multilevel"/>
    <w:tmpl w:val="4E56CDD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05350E"/>
    <w:multiLevelType w:val="hybridMultilevel"/>
    <w:tmpl w:val="E0D86964"/>
    <w:lvl w:ilvl="0" w:tplc="2BB4E922">
      <w:start w:val="1"/>
      <w:numFmt w:val="bullet"/>
      <w:lvlText w:val="*"/>
      <w:lvlJc w:val="left"/>
      <w:pPr>
        <w:ind w:left="720" w:hanging="360"/>
      </w:pPr>
      <w:rPr>
        <w:rFonts w:ascii="Arial" w:hAnsi="Arial" w:hint="default"/>
        <w:b w:val="0"/>
        <w:i w:val="0"/>
        <w:sz w:val="20"/>
      </w:rPr>
    </w:lvl>
    <w:lvl w:ilvl="1" w:tplc="D35AAA22" w:tentative="1">
      <w:start w:val="1"/>
      <w:numFmt w:val="bullet"/>
      <w:lvlText w:val="o"/>
      <w:lvlJc w:val="left"/>
      <w:pPr>
        <w:ind w:left="1440" w:hanging="360"/>
      </w:pPr>
      <w:rPr>
        <w:rFonts w:ascii="Courier New" w:hAnsi="Courier New" w:cs="Courier New" w:hint="default"/>
        <w:b w:val="0"/>
        <w:i w:val="0"/>
        <w:sz w:val="20"/>
      </w:rPr>
    </w:lvl>
    <w:lvl w:ilvl="2" w:tplc="BFD03E0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ED"/>
    <w:rsid w:val="006A5B83"/>
    <w:rsid w:val="006C2B3D"/>
    <w:rsid w:val="009E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0B1D1"/>
  <w15:docId w15:val="{C0DD90D1-ED23-41C5-BFCB-C35D455B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Consolas" w:eastAsia="Consolas" w:hAnsi="Consolas" w:cs="Consolas"/>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Tiu30">
    <w:name w:val="Tiêu đề #3"/>
    <w:basedOn w:val="Normal"/>
    <w:link w:val="Tiu3"/>
    <w:pPr>
      <w:spacing w:line="288" w:lineRule="auto"/>
      <w:ind w:left="820" w:hanging="800"/>
      <w:outlineLvl w:val="2"/>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center"/>
    </w:pPr>
    <w:rPr>
      <w:rFonts w:ascii="Consolas" w:eastAsia="Consolas" w:hAnsi="Consolas" w:cs="Consolas"/>
      <w:sz w:val="19"/>
      <w:szCs w:val="19"/>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8"/>
      <w:szCs w:val="38"/>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Arial" w:eastAsia="Arial" w:hAnsi="Arial" w:cs="Arial"/>
    </w:rPr>
  </w:style>
  <w:style w:type="paragraph" w:customStyle="1" w:styleId="Vnbnnidung20">
    <w:name w:val="Văn bản nội dung (2)"/>
    <w:basedOn w:val="Normal"/>
    <w:link w:val="Vnbnnidung2"/>
    <w:pPr>
      <w:spacing w:line="230" w:lineRule="auto"/>
    </w:pPr>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6A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IXwmIP3gzUnWJW74PpqHHzic+w==">CgMxLjA4AHIhMXpVM1UybUYxaXljeDR1QThFMS1panhjWG5DM1ZYckYt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2024-05-08T03:51:00Z</dcterms:created>
  <dcterms:modified xsi:type="dcterms:W3CDTF">2024-05-08T03:51:00Z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6c27d77bee723b723ac74a2cc93c32bde2dbe4484b7b3cb72dad39a62c7050b4</vt:lpwstr>
  </property>
</Properties>
</file>