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08" w:rsidRPr="00BD3AE6" w:rsidRDefault="00BD3AE6" w:rsidP="00130550">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IDC: Annual General Mandate 2024</w:t>
      </w:r>
    </w:p>
    <w:p w:rsidR="00F41F08" w:rsidRPr="00BD3AE6" w:rsidRDefault="00BD3AE6" w:rsidP="0013055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On April 26, 2024, IDICO Corporation - JSC announced General Mandate as follows:</w:t>
      </w:r>
    </w:p>
    <w:p w:rsidR="00F41F08" w:rsidRPr="00BD3AE6" w:rsidRDefault="00BD3AE6" w:rsidP="0013055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The Annual General Meeting of Shareholders in 2024 of IDICO Corporation - JSC ("IDICO") unanimously voted to approve the contents presented at the Meeting:</w:t>
      </w:r>
    </w:p>
    <w:p w:rsidR="00F41F08" w:rsidRPr="00BD3AE6" w:rsidRDefault="00BD3AE6" w:rsidP="00130550">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Approve the Personnel of the Presidium, the Secretariat, the Vote Counting Committee, the Meeting Agenda, and the Working Regulations of the Meeting.</w:t>
      </w:r>
    </w:p>
    <w:p w:rsidR="00F41F08" w:rsidRPr="00BD3AE6" w:rsidRDefault="00BD3AE6" w:rsidP="00130550">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Approve the Report on production, business and investment results in 2023; production, business and investment plan for 2024:</w:t>
      </w:r>
    </w:p>
    <w:p w:rsidR="00F41F08" w:rsidRPr="00BD3AE6" w:rsidRDefault="00BD3AE6" w:rsidP="00BD3AE6">
      <w:pPr>
        <w:numPr>
          <w:ilvl w:val="1"/>
          <w:numId w:val="3"/>
        </w:numPr>
        <w:pBdr>
          <w:top w:val="nil"/>
          <w:left w:val="nil"/>
          <w:bottom w:val="nil"/>
          <w:right w:val="nil"/>
          <w:between w:val="nil"/>
        </w:pBdr>
        <w:tabs>
          <w:tab w:val="left" w:pos="360"/>
          <w:tab w:val="left" w:pos="1169"/>
        </w:tabs>
        <w:spacing w:after="120" w:line="360" w:lineRule="auto"/>
        <w:rPr>
          <w:rFonts w:ascii="Arial" w:eastAsia="Arial" w:hAnsi="Arial" w:cs="Arial"/>
          <w:sz w:val="20"/>
          <w:szCs w:val="20"/>
        </w:rPr>
      </w:pPr>
      <w:r>
        <w:rPr>
          <w:rFonts w:ascii="Arial" w:hAnsi="Arial"/>
          <w:sz w:val="20"/>
        </w:rPr>
        <w:t>Production and business results in 2023:</w:t>
      </w:r>
    </w:p>
    <w:p w:rsidR="00F41F08" w:rsidRPr="00BD3AE6" w:rsidRDefault="00BD3AE6" w:rsidP="00BD3AE6">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 xml:space="preserve"> Holding company, IDICO Corporation - JSC:</w:t>
      </w:r>
    </w:p>
    <w:p w:rsidR="00F41F08" w:rsidRPr="00BD3AE6" w:rsidRDefault="00BD3AE6" w:rsidP="00BD3AE6">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0"/>
        <w:gridCol w:w="3498"/>
        <w:gridCol w:w="1704"/>
        <w:gridCol w:w="1569"/>
        <w:gridCol w:w="1655"/>
      </w:tblGrid>
      <w:tr w:rsidR="00F41F08" w:rsidRPr="00BD3AE6" w:rsidTr="00BD3AE6">
        <w:tc>
          <w:tcPr>
            <w:tcW w:w="327"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1940"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Major targets</w:t>
            </w:r>
          </w:p>
        </w:tc>
        <w:tc>
          <w:tcPr>
            <w:tcW w:w="945"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Plan of the General Meeting of Shareholders 2023</w:t>
            </w:r>
          </w:p>
        </w:tc>
        <w:tc>
          <w:tcPr>
            <w:tcW w:w="870"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Plan 2023</w:t>
            </w:r>
          </w:p>
        </w:tc>
        <w:tc>
          <w:tcPr>
            <w:tcW w:w="918"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Results/Plan (%)</w:t>
            </w:r>
          </w:p>
        </w:tc>
      </w:tr>
      <w:tr w:rsidR="00F41F08" w:rsidRPr="00BD3AE6" w:rsidTr="00BD3AE6">
        <w:tc>
          <w:tcPr>
            <w:tcW w:w="327"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940"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Total revenue</w:t>
            </w:r>
          </w:p>
        </w:tc>
        <w:tc>
          <w:tcPr>
            <w:tcW w:w="945"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2,964</w:t>
            </w:r>
          </w:p>
        </w:tc>
        <w:tc>
          <w:tcPr>
            <w:tcW w:w="870"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2,941</w:t>
            </w:r>
          </w:p>
        </w:tc>
        <w:tc>
          <w:tcPr>
            <w:tcW w:w="918"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99%</w:t>
            </w:r>
          </w:p>
        </w:tc>
      </w:tr>
      <w:tr w:rsidR="00F41F08" w:rsidRPr="00BD3AE6" w:rsidTr="00BD3AE6">
        <w:tc>
          <w:tcPr>
            <w:tcW w:w="327"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1940"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Profit before tax:</w:t>
            </w:r>
          </w:p>
        </w:tc>
        <w:tc>
          <w:tcPr>
            <w:tcW w:w="945"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1,660</w:t>
            </w:r>
          </w:p>
        </w:tc>
        <w:tc>
          <w:tcPr>
            <w:tcW w:w="870"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1,571</w:t>
            </w:r>
          </w:p>
        </w:tc>
        <w:tc>
          <w:tcPr>
            <w:tcW w:w="918"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95%</w:t>
            </w:r>
          </w:p>
        </w:tc>
      </w:tr>
      <w:tr w:rsidR="00F41F08" w:rsidRPr="00BD3AE6" w:rsidTr="00BD3AE6">
        <w:tc>
          <w:tcPr>
            <w:tcW w:w="327"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1940"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Profit after tax</w:t>
            </w:r>
          </w:p>
        </w:tc>
        <w:tc>
          <w:tcPr>
            <w:tcW w:w="945"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1,376</w:t>
            </w:r>
          </w:p>
        </w:tc>
        <w:tc>
          <w:tcPr>
            <w:tcW w:w="870"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1,330</w:t>
            </w:r>
          </w:p>
        </w:tc>
        <w:tc>
          <w:tcPr>
            <w:tcW w:w="918"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97%</w:t>
            </w:r>
          </w:p>
        </w:tc>
      </w:tr>
      <w:tr w:rsidR="00F41F08" w:rsidRPr="00BD3AE6" w:rsidTr="00BD3AE6">
        <w:tc>
          <w:tcPr>
            <w:tcW w:w="327"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1940"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Investment value</w:t>
            </w:r>
          </w:p>
        </w:tc>
        <w:tc>
          <w:tcPr>
            <w:tcW w:w="945"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1,617</w:t>
            </w:r>
          </w:p>
        </w:tc>
        <w:tc>
          <w:tcPr>
            <w:tcW w:w="870"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769</w:t>
            </w:r>
          </w:p>
        </w:tc>
        <w:tc>
          <w:tcPr>
            <w:tcW w:w="918"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48%</w:t>
            </w:r>
          </w:p>
        </w:tc>
      </w:tr>
    </w:tbl>
    <w:p w:rsidR="00F41F08" w:rsidRPr="00BD3AE6" w:rsidRDefault="00BD3AE6" w:rsidP="00BD3AE6">
      <w:pPr>
        <w:numPr>
          <w:ilvl w:val="0"/>
          <w:numId w:val="1"/>
        </w:numPr>
        <w:pBdr>
          <w:top w:val="nil"/>
          <w:left w:val="nil"/>
          <w:bottom w:val="nil"/>
          <w:right w:val="nil"/>
          <w:between w:val="nil"/>
        </w:pBdr>
        <w:spacing w:after="120" w:line="360" w:lineRule="auto"/>
        <w:ind w:left="0" w:firstLine="0"/>
        <w:rPr>
          <w:rFonts w:ascii="Arial" w:hAnsi="Arial" w:cs="Arial"/>
          <w:sz w:val="20"/>
          <w:szCs w:val="20"/>
        </w:rPr>
      </w:pPr>
      <w:r>
        <w:rPr>
          <w:rFonts w:ascii="Arial" w:hAnsi="Arial"/>
          <w:sz w:val="20"/>
        </w:rPr>
        <w:t>Consolidated for the whole IDICO Corporation - JSC:</w:t>
      </w:r>
    </w:p>
    <w:p w:rsidR="00F41F08" w:rsidRPr="00BD3AE6" w:rsidRDefault="00BD3AE6" w:rsidP="00BD3AE6">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Unit: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2"/>
        <w:gridCol w:w="3392"/>
        <w:gridCol w:w="1693"/>
        <w:gridCol w:w="1567"/>
        <w:gridCol w:w="1652"/>
      </w:tblGrid>
      <w:tr w:rsidR="00F41F08" w:rsidRPr="00BD3AE6" w:rsidTr="00BD3AE6">
        <w:tc>
          <w:tcPr>
            <w:tcW w:w="395"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1881"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w:t>
            </w:r>
          </w:p>
        </w:tc>
        <w:tc>
          <w:tcPr>
            <w:tcW w:w="93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 2023</w:t>
            </w:r>
          </w:p>
        </w:tc>
        <w:tc>
          <w:tcPr>
            <w:tcW w:w="86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 2023</w:t>
            </w:r>
          </w:p>
        </w:tc>
        <w:tc>
          <w:tcPr>
            <w:tcW w:w="91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Results/Plan (%)</w:t>
            </w:r>
          </w:p>
        </w:tc>
      </w:tr>
      <w:tr w:rsidR="00F41F08" w:rsidRPr="00BD3AE6" w:rsidTr="00BD3AE6">
        <w:tc>
          <w:tcPr>
            <w:tcW w:w="395"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1881"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93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8,277</w:t>
            </w:r>
          </w:p>
        </w:tc>
        <w:tc>
          <w:tcPr>
            <w:tcW w:w="86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7,474</w:t>
            </w:r>
          </w:p>
        </w:tc>
        <w:tc>
          <w:tcPr>
            <w:tcW w:w="91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90%</w:t>
            </w:r>
          </w:p>
        </w:tc>
      </w:tr>
      <w:tr w:rsidR="00F41F08" w:rsidRPr="00BD3AE6" w:rsidTr="00BD3AE6">
        <w:tc>
          <w:tcPr>
            <w:tcW w:w="395"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1881"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93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2,525</w:t>
            </w:r>
          </w:p>
        </w:tc>
        <w:tc>
          <w:tcPr>
            <w:tcW w:w="86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2,057</w:t>
            </w:r>
          </w:p>
        </w:tc>
        <w:tc>
          <w:tcPr>
            <w:tcW w:w="91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81%</w:t>
            </w:r>
          </w:p>
        </w:tc>
      </w:tr>
      <w:tr w:rsidR="00F41F08" w:rsidRPr="00BD3AE6" w:rsidTr="00BD3AE6">
        <w:tc>
          <w:tcPr>
            <w:tcW w:w="395"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1881"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93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2,068</w:t>
            </w:r>
          </w:p>
        </w:tc>
        <w:tc>
          <w:tcPr>
            <w:tcW w:w="86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1,656</w:t>
            </w:r>
          </w:p>
        </w:tc>
        <w:tc>
          <w:tcPr>
            <w:tcW w:w="91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80%</w:t>
            </w:r>
          </w:p>
        </w:tc>
      </w:tr>
      <w:tr w:rsidR="00F41F08" w:rsidRPr="00BD3AE6" w:rsidTr="00BD3AE6">
        <w:tc>
          <w:tcPr>
            <w:tcW w:w="395"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1881"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investment value</w:t>
            </w:r>
          </w:p>
        </w:tc>
        <w:tc>
          <w:tcPr>
            <w:tcW w:w="93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3,068</w:t>
            </w:r>
          </w:p>
        </w:tc>
        <w:tc>
          <w:tcPr>
            <w:tcW w:w="86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1,306</w:t>
            </w:r>
          </w:p>
        </w:tc>
        <w:tc>
          <w:tcPr>
            <w:tcW w:w="91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43%</w:t>
            </w:r>
          </w:p>
        </w:tc>
      </w:tr>
    </w:tbl>
    <w:p w:rsidR="00F41F08" w:rsidRPr="00BD3AE6" w:rsidRDefault="00BD3AE6" w:rsidP="00BD3AE6">
      <w:pPr>
        <w:numPr>
          <w:ilvl w:val="1"/>
          <w:numId w:val="3"/>
        </w:numPr>
        <w:pBdr>
          <w:top w:val="nil"/>
          <w:left w:val="nil"/>
          <w:bottom w:val="nil"/>
          <w:right w:val="nil"/>
          <w:between w:val="nil"/>
        </w:pBdr>
        <w:tabs>
          <w:tab w:val="left" w:pos="360"/>
          <w:tab w:val="left" w:pos="1169"/>
        </w:tabs>
        <w:spacing w:after="120" w:line="360" w:lineRule="auto"/>
        <w:rPr>
          <w:rFonts w:ascii="Arial" w:eastAsia="Arial" w:hAnsi="Arial" w:cs="Arial"/>
          <w:sz w:val="20"/>
          <w:szCs w:val="20"/>
        </w:rPr>
      </w:pPr>
      <w:r>
        <w:rPr>
          <w:rFonts w:ascii="Arial" w:hAnsi="Arial"/>
          <w:sz w:val="20"/>
        </w:rPr>
        <w:t xml:space="preserve">Production and business plan for 2024: </w:t>
      </w:r>
    </w:p>
    <w:p w:rsidR="00F41F08" w:rsidRPr="00BD3AE6" w:rsidRDefault="00BD3AE6" w:rsidP="00BD3AE6">
      <w:pPr>
        <w:pBdr>
          <w:top w:val="nil"/>
          <w:left w:val="nil"/>
          <w:bottom w:val="nil"/>
          <w:right w:val="nil"/>
          <w:between w:val="nil"/>
        </w:pBdr>
        <w:tabs>
          <w:tab w:val="left" w:pos="360"/>
          <w:tab w:val="left" w:pos="1169"/>
        </w:tabs>
        <w:spacing w:after="120" w:line="360" w:lineRule="auto"/>
        <w:jc w:val="right"/>
        <w:rPr>
          <w:rFonts w:ascii="Arial" w:eastAsia="Arial" w:hAnsi="Arial" w:cs="Arial"/>
          <w:sz w:val="20"/>
          <w:szCs w:val="20"/>
        </w:rPr>
      </w:pPr>
      <w:r>
        <w:rPr>
          <w:rFonts w:ascii="Arial" w:hAnsi="Arial"/>
          <w:sz w:val="20"/>
        </w:rPr>
        <w:t>Unit: Billion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461"/>
        <w:gridCol w:w="1544"/>
        <w:gridCol w:w="1567"/>
        <w:gridCol w:w="1850"/>
      </w:tblGrid>
      <w:tr w:rsidR="00F41F08" w:rsidRPr="00BD3AE6" w:rsidTr="00BD3AE6">
        <w:tc>
          <w:tcPr>
            <w:tcW w:w="32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191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Major targets</w:t>
            </w:r>
          </w:p>
        </w:tc>
        <w:tc>
          <w:tcPr>
            <w:tcW w:w="85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Plan 2023</w:t>
            </w:r>
          </w:p>
        </w:tc>
        <w:tc>
          <w:tcPr>
            <w:tcW w:w="86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Plan 2024</w:t>
            </w:r>
          </w:p>
        </w:tc>
        <w:tc>
          <w:tcPr>
            <w:tcW w:w="102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Plan 2024/Results 2023 (%)</w:t>
            </w:r>
          </w:p>
        </w:tc>
      </w:tr>
      <w:tr w:rsidR="00F41F08" w:rsidRPr="00BD3AE6" w:rsidTr="00BD3AE6">
        <w:tc>
          <w:tcPr>
            <w:tcW w:w="32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91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Total consolidated revenue</w:t>
            </w:r>
          </w:p>
        </w:tc>
        <w:tc>
          <w:tcPr>
            <w:tcW w:w="85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7,474</w:t>
            </w:r>
          </w:p>
        </w:tc>
        <w:tc>
          <w:tcPr>
            <w:tcW w:w="86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8,466</w:t>
            </w:r>
          </w:p>
        </w:tc>
        <w:tc>
          <w:tcPr>
            <w:tcW w:w="102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113%</w:t>
            </w:r>
          </w:p>
        </w:tc>
      </w:tr>
      <w:tr w:rsidR="00F41F08" w:rsidRPr="00BD3AE6" w:rsidTr="00BD3AE6">
        <w:tc>
          <w:tcPr>
            <w:tcW w:w="329" w:type="pct"/>
            <w:shd w:val="clear" w:color="auto" w:fill="auto"/>
            <w:tcMar>
              <w:top w:w="0" w:type="dxa"/>
              <w:bottom w:w="0" w:type="dxa"/>
            </w:tcMar>
            <w:vAlign w:val="center"/>
          </w:tcPr>
          <w:p w:rsidR="00F41F08" w:rsidRPr="00BD3AE6" w:rsidRDefault="00F41F08" w:rsidP="00BD3AE6">
            <w:pPr>
              <w:spacing w:after="120" w:line="360" w:lineRule="auto"/>
              <w:jc w:val="center"/>
              <w:rPr>
                <w:rFonts w:ascii="Arial" w:eastAsia="Arial" w:hAnsi="Arial" w:cs="Arial"/>
                <w:sz w:val="20"/>
                <w:szCs w:val="20"/>
              </w:rPr>
            </w:pPr>
          </w:p>
        </w:tc>
        <w:tc>
          <w:tcPr>
            <w:tcW w:w="191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Of which, the Holding Company</w:t>
            </w:r>
          </w:p>
        </w:tc>
        <w:tc>
          <w:tcPr>
            <w:tcW w:w="85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2,941</w:t>
            </w:r>
          </w:p>
        </w:tc>
        <w:tc>
          <w:tcPr>
            <w:tcW w:w="86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3,140</w:t>
            </w:r>
          </w:p>
        </w:tc>
        <w:tc>
          <w:tcPr>
            <w:tcW w:w="102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107%</w:t>
            </w:r>
          </w:p>
        </w:tc>
      </w:tr>
      <w:tr w:rsidR="00F41F08" w:rsidRPr="00BD3AE6" w:rsidTr="00BD3AE6">
        <w:tc>
          <w:tcPr>
            <w:tcW w:w="32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191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Consolidated profit before tax</w:t>
            </w:r>
          </w:p>
        </w:tc>
        <w:tc>
          <w:tcPr>
            <w:tcW w:w="85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2,057</w:t>
            </w:r>
          </w:p>
        </w:tc>
        <w:tc>
          <w:tcPr>
            <w:tcW w:w="86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2,502</w:t>
            </w:r>
          </w:p>
        </w:tc>
        <w:tc>
          <w:tcPr>
            <w:tcW w:w="102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122%</w:t>
            </w:r>
          </w:p>
        </w:tc>
      </w:tr>
      <w:tr w:rsidR="00F41F08" w:rsidRPr="00BD3AE6" w:rsidTr="00BD3AE6">
        <w:tc>
          <w:tcPr>
            <w:tcW w:w="329" w:type="pct"/>
            <w:shd w:val="clear" w:color="auto" w:fill="auto"/>
            <w:tcMar>
              <w:top w:w="0" w:type="dxa"/>
              <w:bottom w:w="0" w:type="dxa"/>
            </w:tcMar>
            <w:vAlign w:val="center"/>
          </w:tcPr>
          <w:p w:rsidR="00F41F08" w:rsidRPr="00BD3AE6" w:rsidRDefault="00F41F08" w:rsidP="00BD3AE6">
            <w:pPr>
              <w:spacing w:after="120" w:line="360" w:lineRule="auto"/>
              <w:jc w:val="center"/>
              <w:rPr>
                <w:rFonts w:ascii="Arial" w:eastAsia="Arial" w:hAnsi="Arial" w:cs="Arial"/>
                <w:sz w:val="20"/>
                <w:szCs w:val="20"/>
              </w:rPr>
            </w:pPr>
          </w:p>
        </w:tc>
        <w:tc>
          <w:tcPr>
            <w:tcW w:w="191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Of which, the Holding Company</w:t>
            </w:r>
          </w:p>
        </w:tc>
        <w:tc>
          <w:tcPr>
            <w:tcW w:w="85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1,571</w:t>
            </w:r>
          </w:p>
        </w:tc>
        <w:tc>
          <w:tcPr>
            <w:tcW w:w="86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1,770</w:t>
            </w:r>
          </w:p>
        </w:tc>
        <w:tc>
          <w:tcPr>
            <w:tcW w:w="102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113%</w:t>
            </w:r>
          </w:p>
        </w:tc>
      </w:tr>
      <w:tr w:rsidR="00F41F08" w:rsidRPr="00BD3AE6" w:rsidTr="00BD3AE6">
        <w:tc>
          <w:tcPr>
            <w:tcW w:w="32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191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 xml:space="preserve">Consolidated investment value </w:t>
            </w:r>
          </w:p>
        </w:tc>
        <w:tc>
          <w:tcPr>
            <w:tcW w:w="85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1,306</w:t>
            </w:r>
          </w:p>
        </w:tc>
        <w:tc>
          <w:tcPr>
            <w:tcW w:w="86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3,134</w:t>
            </w:r>
          </w:p>
        </w:tc>
        <w:tc>
          <w:tcPr>
            <w:tcW w:w="102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240%</w:t>
            </w:r>
          </w:p>
        </w:tc>
      </w:tr>
      <w:tr w:rsidR="00F41F08" w:rsidRPr="00BD3AE6" w:rsidTr="00BD3AE6">
        <w:tc>
          <w:tcPr>
            <w:tcW w:w="329" w:type="pct"/>
            <w:shd w:val="clear" w:color="auto" w:fill="auto"/>
            <w:tcMar>
              <w:top w:w="0" w:type="dxa"/>
              <w:bottom w:w="0" w:type="dxa"/>
            </w:tcMar>
            <w:vAlign w:val="center"/>
          </w:tcPr>
          <w:p w:rsidR="00F41F08" w:rsidRPr="00BD3AE6" w:rsidRDefault="00F41F08" w:rsidP="00BD3AE6">
            <w:pPr>
              <w:spacing w:after="120" w:line="360" w:lineRule="auto"/>
              <w:jc w:val="center"/>
              <w:rPr>
                <w:rFonts w:ascii="Arial" w:eastAsia="Arial" w:hAnsi="Arial" w:cs="Arial"/>
                <w:sz w:val="20"/>
                <w:szCs w:val="20"/>
              </w:rPr>
            </w:pPr>
          </w:p>
        </w:tc>
        <w:tc>
          <w:tcPr>
            <w:tcW w:w="191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Of which, the Holding Company</w:t>
            </w:r>
          </w:p>
        </w:tc>
        <w:tc>
          <w:tcPr>
            <w:tcW w:w="85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769</w:t>
            </w:r>
          </w:p>
        </w:tc>
        <w:tc>
          <w:tcPr>
            <w:tcW w:w="869"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988</w:t>
            </w:r>
          </w:p>
        </w:tc>
        <w:tc>
          <w:tcPr>
            <w:tcW w:w="1026" w:type="pct"/>
            <w:shd w:val="clear" w:color="auto" w:fill="auto"/>
            <w:tcMar>
              <w:top w:w="0" w:type="dxa"/>
              <w:bottom w:w="0" w:type="dxa"/>
            </w:tcMar>
            <w:vAlign w:val="center"/>
          </w:tcPr>
          <w:p w:rsidR="00F41F08" w:rsidRPr="00BD3AE6" w:rsidRDefault="00BD3AE6" w:rsidP="00BD3AE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128%</w:t>
            </w:r>
          </w:p>
        </w:tc>
      </w:tr>
    </w:tbl>
    <w:p w:rsidR="00F41F08" w:rsidRPr="00BD3AE6" w:rsidRDefault="00BD3AE6" w:rsidP="00BD3AE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The consolidated total revenue and consolidated profit before tax of the whole IDICO Corporation - JSC have excluded internal revenue and profit).</w:t>
      </w:r>
    </w:p>
    <w:p w:rsidR="00F41F08" w:rsidRPr="00BD3AE6" w:rsidRDefault="00BD3AE6" w:rsidP="00E156C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Approve the Report on the Board of Directors' activities in 2023 and the action program for 2024.</w:t>
      </w:r>
    </w:p>
    <w:p w:rsidR="00F41F08" w:rsidRPr="00BD3AE6" w:rsidRDefault="00BD3AE6" w:rsidP="00E156C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Approve the Report of the Audit Committee of IDICO Corporation - JSC at the Annual General Meeting of Shareholders in 2024.</w:t>
      </w:r>
    </w:p>
    <w:p w:rsidR="00F41F08" w:rsidRPr="00BD3AE6" w:rsidRDefault="00BD3AE6" w:rsidP="00E156C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Approve the Consolidated Financial Statements 2023 and Consolidated Financial Statements 2023 audited by CPA VIET NAM Auditing Company Limited.</w:t>
      </w:r>
    </w:p>
    <w:p w:rsidR="00F41F08" w:rsidRPr="00BD3AE6" w:rsidRDefault="00BD3AE6" w:rsidP="00E156C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Approve the profit distribution plan in 2023 and the profit distribution plan in 2024;</w:t>
      </w:r>
    </w:p>
    <w:p w:rsidR="00F41F08" w:rsidRPr="00BD3AE6" w:rsidRDefault="00BD3AE6" w:rsidP="00E156C6">
      <w:pPr>
        <w:numPr>
          <w:ilvl w:val="1"/>
          <w:numId w:val="3"/>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Profit distribution in 2023:</w:t>
      </w:r>
    </w:p>
    <w:p w:rsidR="00F41F08" w:rsidRPr="00BD3AE6" w:rsidRDefault="00BD3AE6" w:rsidP="00E156C6">
      <w:pPr>
        <w:numPr>
          <w:ilvl w:val="0"/>
          <w:numId w:val="4"/>
        </w:numPr>
        <w:pBdr>
          <w:top w:val="nil"/>
          <w:left w:val="nil"/>
          <w:bottom w:val="nil"/>
          <w:right w:val="nil"/>
          <w:between w:val="nil"/>
        </w:pBdr>
        <w:tabs>
          <w:tab w:val="left" w:pos="270"/>
          <w:tab w:val="left" w:pos="6277"/>
        </w:tabs>
        <w:spacing w:after="120" w:line="360" w:lineRule="auto"/>
        <w:jc w:val="both"/>
        <w:rPr>
          <w:rFonts w:ascii="Arial" w:eastAsia="Arial" w:hAnsi="Arial" w:cs="Arial"/>
          <w:sz w:val="20"/>
          <w:szCs w:val="20"/>
        </w:rPr>
      </w:pPr>
      <w:r>
        <w:rPr>
          <w:rFonts w:ascii="Arial" w:hAnsi="Arial"/>
          <w:sz w:val="20"/>
        </w:rPr>
        <w:t>Total profit before tax:</w:t>
      </w:r>
      <w:r>
        <w:rPr>
          <w:rFonts w:ascii="Arial" w:hAnsi="Arial"/>
          <w:sz w:val="20"/>
        </w:rPr>
        <w:tab/>
        <w:t>VND 1,571,346,548,828</w:t>
      </w:r>
    </w:p>
    <w:p w:rsidR="00F41F08" w:rsidRPr="00BD3AE6" w:rsidRDefault="00BD3AE6" w:rsidP="00E156C6">
      <w:pPr>
        <w:numPr>
          <w:ilvl w:val="0"/>
          <w:numId w:val="4"/>
        </w:numPr>
        <w:pBdr>
          <w:top w:val="nil"/>
          <w:left w:val="nil"/>
          <w:bottom w:val="nil"/>
          <w:right w:val="nil"/>
          <w:between w:val="nil"/>
        </w:pBdr>
        <w:tabs>
          <w:tab w:val="left" w:pos="270"/>
          <w:tab w:val="left" w:pos="6277"/>
        </w:tabs>
        <w:spacing w:after="120" w:line="360" w:lineRule="auto"/>
        <w:jc w:val="both"/>
        <w:rPr>
          <w:rFonts w:ascii="Arial" w:eastAsia="Arial" w:hAnsi="Arial" w:cs="Arial"/>
          <w:sz w:val="20"/>
          <w:szCs w:val="20"/>
        </w:rPr>
      </w:pPr>
      <w:r>
        <w:rPr>
          <w:rFonts w:ascii="Arial" w:hAnsi="Arial"/>
          <w:sz w:val="20"/>
        </w:rPr>
        <w:t>Corporate income tax expenses increase by VND 13,532,793,992 due to increase in profit before tax (affected by the above adjustments).</w:t>
      </w:r>
      <w:r>
        <w:rPr>
          <w:rFonts w:ascii="Arial" w:hAnsi="Arial"/>
          <w:sz w:val="20"/>
        </w:rPr>
        <w:tab/>
        <w:t>VND 241,269,185,964</w:t>
      </w:r>
    </w:p>
    <w:p w:rsidR="00F41F08" w:rsidRPr="00BD3AE6" w:rsidRDefault="00BD3AE6" w:rsidP="00E156C6">
      <w:pPr>
        <w:numPr>
          <w:ilvl w:val="0"/>
          <w:numId w:val="4"/>
        </w:numPr>
        <w:pBdr>
          <w:top w:val="nil"/>
          <w:left w:val="nil"/>
          <w:bottom w:val="nil"/>
          <w:right w:val="nil"/>
          <w:between w:val="nil"/>
        </w:pBdr>
        <w:tabs>
          <w:tab w:val="left" w:pos="270"/>
          <w:tab w:val="left" w:pos="6277"/>
        </w:tabs>
        <w:spacing w:after="120" w:line="360" w:lineRule="auto"/>
        <w:jc w:val="both"/>
        <w:rPr>
          <w:rFonts w:ascii="Arial" w:eastAsia="Arial" w:hAnsi="Arial" w:cs="Arial"/>
          <w:sz w:val="20"/>
          <w:szCs w:val="20"/>
        </w:rPr>
      </w:pPr>
      <w:r>
        <w:rPr>
          <w:rFonts w:ascii="Arial" w:hAnsi="Arial"/>
          <w:sz w:val="20"/>
        </w:rPr>
        <w:t>Profit after corporate income tax to be distributed:</w:t>
      </w:r>
      <w:r>
        <w:rPr>
          <w:rFonts w:ascii="Arial" w:hAnsi="Arial"/>
          <w:sz w:val="20"/>
        </w:rPr>
        <w:tab/>
        <w:t>VND 1,330,077,362,864</w:t>
      </w:r>
    </w:p>
    <w:p w:rsidR="00F41F08" w:rsidRPr="00BD3AE6" w:rsidRDefault="00BD3AE6" w:rsidP="00E156C6">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 xml:space="preserve">Accumulated undistributed profit after corporate income tax as of December 31, 2023: VND 1,330,077,362,864 </w:t>
      </w:r>
    </w:p>
    <w:p w:rsidR="00F41F08" w:rsidRPr="00BD3AE6" w:rsidRDefault="00BD3AE6" w:rsidP="00E156C6">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Dividend payment in cash (40%/Charter capital) VND 1,319,999,716,000</w:t>
      </w:r>
    </w:p>
    <w:p w:rsidR="00F41F08" w:rsidRPr="00BD3AE6" w:rsidRDefault="00BD3AE6" w:rsidP="00E156C6">
      <w:p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In which: 1st advance payment (20%): VND 659,999,858,000</w:t>
      </w:r>
    </w:p>
    <w:p w:rsidR="00F41F08" w:rsidRPr="00BD3AE6" w:rsidRDefault="00BD3AE6" w:rsidP="00E156C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2nd advance payment (15%):  VND 494,999,893,500</w:t>
      </w:r>
    </w:p>
    <w:p w:rsidR="00F41F08" w:rsidRPr="00BD3AE6" w:rsidRDefault="00BD3AE6" w:rsidP="00E156C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Remaining amount to be paid (5%): VND 164,999,964,500</w:t>
      </w:r>
    </w:p>
    <w:p w:rsidR="00F41F08" w:rsidRPr="00BD3AE6" w:rsidRDefault="00BD3AE6" w:rsidP="00E156C6">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Allocation to the Bonus Fund for Enterprise managers:  VND 2,000,000,000</w:t>
      </w:r>
    </w:p>
    <w:p w:rsidR="00F41F08" w:rsidRPr="00BD3AE6" w:rsidRDefault="00BD3AE6" w:rsidP="00E156C6">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Appropriation for bonus and welfare funds VND 8,077,646,864</w:t>
      </w:r>
    </w:p>
    <w:p w:rsidR="00F41F08" w:rsidRPr="00BD3AE6" w:rsidRDefault="00BD3AE6" w:rsidP="00E156C6">
      <w:pPr>
        <w:numPr>
          <w:ilvl w:val="1"/>
          <w:numId w:val="3"/>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Profit distribution plan for 2024</w:t>
      </w:r>
    </w:p>
    <w:p w:rsidR="00F41F08" w:rsidRPr="00BD3AE6" w:rsidRDefault="00BD3AE6" w:rsidP="00E156C6">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Dividend payment rate: 40%/Charter capital (from profit after tax 2024).</w:t>
      </w:r>
    </w:p>
    <w:p w:rsidR="00F41F08" w:rsidRPr="00BD3AE6" w:rsidRDefault="00BD3AE6" w:rsidP="00E156C6">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Allocation to the Bonus Fund for Enterprise managers: VND 2,000,000,000.</w:t>
      </w:r>
    </w:p>
    <w:p w:rsidR="00F41F08" w:rsidRPr="00BD3AE6" w:rsidRDefault="00BD3AE6" w:rsidP="00E156C6">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Appropriation for bonus and welfare funds 1% of profit after tax 2024.</w:t>
      </w:r>
    </w:p>
    <w:p w:rsidR="00F41F08" w:rsidRPr="00BD3AE6" w:rsidRDefault="00BD3AE6" w:rsidP="00E156C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 xml:space="preserve">Approve the total remuneration, salary and bonus of the Board of Directors in 2023 and the plan for </w:t>
      </w:r>
      <w:r>
        <w:rPr>
          <w:rFonts w:ascii="Arial" w:hAnsi="Arial"/>
          <w:sz w:val="20"/>
        </w:rPr>
        <w:lastRenderedPageBreak/>
        <w:t>2024.</w:t>
      </w:r>
    </w:p>
    <w:p w:rsidR="00F41F08" w:rsidRPr="00BD3AE6" w:rsidRDefault="00BD3AE6" w:rsidP="00E156C6">
      <w:pPr>
        <w:numPr>
          <w:ilvl w:val="1"/>
          <w:numId w:val="3"/>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The total remuneration, salary and bonus of the Board of Directors in 2023 is:  VND 4,118,803,700 (equal to 86% of the 2023 plan).</w:t>
      </w:r>
      <w:r>
        <w:rPr>
          <w:rFonts w:ascii="Arial" w:hAnsi="Arial"/>
          <w:sz w:val="20"/>
        </w:rPr>
        <w:tab/>
      </w:r>
    </w:p>
    <w:p w:rsidR="00F41F08" w:rsidRPr="00BD3AE6" w:rsidRDefault="00BD3AE6" w:rsidP="00E156C6">
      <w:pPr>
        <w:numPr>
          <w:ilvl w:val="1"/>
          <w:numId w:val="3"/>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The planned total remuneration, salary and bonus of the Board of Directors in 2024 is:  VND 6,000,000,000.</w:t>
      </w:r>
      <w:r>
        <w:rPr>
          <w:rFonts w:ascii="Arial" w:hAnsi="Arial"/>
          <w:sz w:val="20"/>
        </w:rPr>
        <w:tab/>
      </w:r>
    </w:p>
    <w:p w:rsidR="00F41F08" w:rsidRPr="00BD3AE6" w:rsidRDefault="00BD3AE6" w:rsidP="00E156C6">
      <w:pPr>
        <w:pBdr>
          <w:top w:val="nil"/>
          <w:left w:val="nil"/>
          <w:bottom w:val="nil"/>
          <w:right w:val="nil"/>
          <w:between w:val="nil"/>
        </w:pBdr>
        <w:tabs>
          <w:tab w:val="left" w:pos="9815"/>
        </w:tabs>
        <w:spacing w:after="120" w:line="360" w:lineRule="auto"/>
        <w:jc w:val="both"/>
        <w:rPr>
          <w:rFonts w:ascii="Arial" w:eastAsia="Arial" w:hAnsi="Arial" w:cs="Arial"/>
          <w:sz w:val="20"/>
          <w:szCs w:val="20"/>
        </w:rPr>
      </w:pPr>
      <w:r>
        <w:rPr>
          <w:rFonts w:ascii="Arial" w:hAnsi="Arial"/>
          <w:sz w:val="20"/>
        </w:rPr>
        <w:t>The remuneration level of each member is decided by the Board of Directors on the principle of unanimity.</w:t>
      </w:r>
    </w:p>
    <w:p w:rsidR="00F41F08" w:rsidRPr="00BD3AE6" w:rsidRDefault="00BD3AE6" w:rsidP="00E156C6">
      <w:pPr>
        <w:numPr>
          <w:ilvl w:val="1"/>
          <w:numId w:val="3"/>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Members of the Board of Directors are reimbursed for actual expenses incurred for meals, accommodation, travel and other reasonable expenses when performing assigned tasks.</w:t>
      </w:r>
    </w:p>
    <w:p w:rsidR="00F41F08" w:rsidRPr="00BD3AE6" w:rsidRDefault="00BD3AE6" w:rsidP="00E156C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Approve the Plan for selecting an independent audit company (an auditing organization approved by the Ministry of Finance and the State Securities Commission for audit companies and practicing auditors to audit entities with public interests in the securities sector in 2024 under Decision No. 2559/QD-BTC dated November 20, 2023 of the Ministry of Finance) with a reputation for quality, fees suitable to the quality and scope of the audit to perform the audit of the 2024 Financial Statements of IDICO, as follows:</w:t>
      </w:r>
    </w:p>
    <w:p w:rsidR="00F41F08" w:rsidRPr="00BD3AE6" w:rsidRDefault="00BD3AE6" w:rsidP="00E156C6">
      <w:pPr>
        <w:numPr>
          <w:ilvl w:val="1"/>
          <w:numId w:val="3"/>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List of audit companies:</w:t>
      </w:r>
    </w:p>
    <w:p w:rsidR="00F41F08" w:rsidRPr="00BD3AE6" w:rsidRDefault="00BD3AE6" w:rsidP="00E156C6">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CPA VIETNAM Auditing Company Limited (Enterprise Code:  0101917917)</w:t>
      </w:r>
    </w:p>
    <w:p w:rsidR="00F41F08" w:rsidRPr="00BD3AE6" w:rsidRDefault="00BD3AE6" w:rsidP="00E156C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Address: 8th Floor, VG Building Office Building, No. 235 Nguyen Trai, Thanh Xuan Trung Ward, Thanh Xuan District, Hanoi City.</w:t>
      </w:r>
    </w:p>
    <w:p w:rsidR="00F41F08" w:rsidRPr="00BD3AE6" w:rsidRDefault="00BD3AE6" w:rsidP="00E156C6">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PWC (Vietnam) Company Limited (Enterprise Code: 0100157406)</w:t>
      </w:r>
    </w:p>
    <w:p w:rsidR="00F41F08" w:rsidRPr="00BD3AE6" w:rsidRDefault="00BD3AE6" w:rsidP="00E156C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Address: No. 29, Le Duan Street, Ben Nghe Ward, District 1, Ho Chi Minh City.</w:t>
      </w:r>
    </w:p>
    <w:p w:rsidR="00F41F08" w:rsidRPr="00BD3AE6" w:rsidRDefault="00BD3AE6" w:rsidP="00E156C6">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Ernst &amp; Young Vietnam Company Limited (Enterprise Code:  0300811802)</w:t>
      </w:r>
    </w:p>
    <w:p w:rsidR="00F41F08" w:rsidRPr="00BD3AE6" w:rsidRDefault="00BD3AE6" w:rsidP="00E156C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Address: No. 2, Hai Trieu Street, Ben Nghe Ward, District 1, Ho Chi Minh City.</w:t>
      </w:r>
    </w:p>
    <w:p w:rsidR="00F41F08" w:rsidRPr="00BD3AE6" w:rsidRDefault="00BD3AE6" w:rsidP="00E156C6">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KPMG Company Limited (Enterprise Code: 0100112042)</w:t>
      </w:r>
    </w:p>
    <w:p w:rsidR="00F41F08" w:rsidRPr="00BD3AE6" w:rsidRDefault="00BD3AE6" w:rsidP="00E156C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Address: 46th floor, Keangnam Tower, Hanoi Landmark Tower, 72 Floor Building, Lot E6, Pham Hung Street, Cau Giay New Urban Area, Me Tri Ward, Nam Tu Liem District, Hanoi City.</w:t>
      </w:r>
    </w:p>
    <w:p w:rsidR="00F41F08" w:rsidRPr="00BD3AE6" w:rsidRDefault="00BD3AE6" w:rsidP="00E156C6">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Deloitte Vietnam Auditing Company Limited (Enterprise Code: 0100112500)</w:t>
      </w:r>
    </w:p>
    <w:p w:rsidR="00F41F08" w:rsidRPr="00BD3AE6" w:rsidRDefault="00BD3AE6" w:rsidP="00E156C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Address: Floor 15, Vinaconex Building, 34 Lang Ha Street, Lang Ha Ward, Dong Da District, Hanoi City</w:t>
      </w:r>
    </w:p>
    <w:p w:rsidR="00F41F08" w:rsidRPr="00BD3AE6" w:rsidRDefault="00BD3AE6" w:rsidP="00E156C6">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A&amp;C Auditing and Consulting Company Limited (Enterprise Code:  0300449815)</w:t>
      </w:r>
    </w:p>
    <w:p w:rsidR="00F41F08" w:rsidRPr="00BD3AE6" w:rsidRDefault="00BD3AE6" w:rsidP="00E156C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Address: No. 02 Truong Son, Ward 2, Tan Binh District, Ho Chi Minh City.</w:t>
      </w:r>
    </w:p>
    <w:p w:rsidR="00F41F08" w:rsidRPr="00BD3AE6" w:rsidRDefault="00BD3AE6" w:rsidP="00E156C6">
      <w:pPr>
        <w:numPr>
          <w:ilvl w:val="1"/>
          <w:numId w:val="3"/>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The General Meeting of Shareholders authorizes the Board of Directors of IDICO to decide to select an audit company from the above list to perform the audit of the Financial Statements 2024 of IDICO Corporation - JSC.</w:t>
      </w:r>
    </w:p>
    <w:p w:rsidR="00F41F08" w:rsidRPr="00BD3AE6" w:rsidRDefault="00BD3AE6" w:rsidP="00E156C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lastRenderedPageBreak/>
        <w:t>Approve the amendment of the Charter of IDICO Corporation - JSC.</w:t>
      </w:r>
    </w:p>
    <w:p w:rsidR="00F41F08" w:rsidRPr="00BD3AE6" w:rsidRDefault="00BD3AE6" w:rsidP="00E156C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Approve the amendment of the Internal Regulations on Corporate Governance of IDICO.</w:t>
      </w:r>
    </w:p>
    <w:p w:rsidR="00F41F08" w:rsidRPr="00BD3AE6" w:rsidRDefault="00BD3AE6" w:rsidP="00E156C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Approve the amendment of the Operating Regulations of the Board of Directors of IDICO.</w:t>
      </w:r>
    </w:p>
    <w:p w:rsidR="00F41F08" w:rsidRPr="00BD3AE6" w:rsidRDefault="00BD3AE6" w:rsidP="00E156C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Terms of enforcement:</w:t>
      </w:r>
    </w:p>
    <w:p w:rsidR="00F41F08" w:rsidRPr="00BD3AE6" w:rsidRDefault="00BD3AE6" w:rsidP="00E156C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Annual General Meeting of Shareholders in 2024 of IDICO Corporation - JSC assigns the Board of Directors to deploy and supervise th</w:t>
      </w:r>
      <w:bookmarkStart w:id="0" w:name="_GoBack"/>
      <w:bookmarkEnd w:id="0"/>
      <w:r>
        <w:rPr>
          <w:rFonts w:ascii="Arial" w:hAnsi="Arial"/>
          <w:sz w:val="20"/>
        </w:rPr>
        <w:t>e Board of Management to implement the contents of the General Mandate in order to ensure the interests of shareholders, enterprises and in accordance with the provisions of law.</w:t>
      </w:r>
    </w:p>
    <w:p w:rsidR="00F41F08" w:rsidRPr="00BD3AE6" w:rsidRDefault="00BD3AE6" w:rsidP="00E156C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In the process of implementation, issues under the decision-making authority of the General Meeting of Shareholders but not yet due for the Annual General Meeting of Shareholders, the General Meeting of Shareholders authorizes the Board of Directors to decide on the policy and assign the Executive Board to organize the implementation. The Board of Directors is responsible for supervising and reporting the implementation of the authorization to the General Meeting of Shareholders at the nearest meeting.</w:t>
      </w:r>
    </w:p>
    <w:p w:rsidR="00F41F08" w:rsidRPr="00BD3AE6" w:rsidRDefault="00BD3AE6" w:rsidP="00E156C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This General Mandate consists of 04 pages, prepared and approved in its entirety at the Annual General Meeting of Shareholders in 2024 of IDICO Corporation - JSC on April 26, 2024 and takes effect from the date of approval.</w:t>
      </w:r>
    </w:p>
    <w:sectPr w:rsidR="00F41F08" w:rsidRPr="00BD3AE6" w:rsidSect="00BD3AE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3B24"/>
    <w:multiLevelType w:val="multilevel"/>
    <w:tmpl w:val="5ACA4A2C"/>
    <w:lvl w:ilvl="0">
      <w:start w:val="1"/>
      <w:numFmt w:val="bullet"/>
      <w:lvlText w:val="+"/>
      <w:lvlJc w:val="left"/>
      <w:pPr>
        <w:ind w:left="720" w:hanging="72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411CCC"/>
    <w:multiLevelType w:val="multilevel"/>
    <w:tmpl w:val="E0CC8718"/>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651324"/>
    <w:multiLevelType w:val="multilevel"/>
    <w:tmpl w:val="5046F9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D1E0BEC"/>
    <w:multiLevelType w:val="multilevel"/>
    <w:tmpl w:val="0CE639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08"/>
    <w:rsid w:val="00130550"/>
    <w:rsid w:val="00BD3AE6"/>
    <w:rsid w:val="00E156C6"/>
    <w:rsid w:val="00F4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F639A5-3959-466D-AC84-52C94979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76" w:lineRule="auto"/>
    </w:pPr>
    <w:rPr>
      <w:rFonts w:ascii="Times New Roman" w:eastAsia="Times New Roman" w:hAnsi="Times New Roman" w:cs="Times New Roman"/>
      <w:i/>
      <w:iCs/>
    </w:rPr>
  </w:style>
  <w:style w:type="paragraph" w:customStyle="1" w:styleId="Other0">
    <w:name w:val="Other"/>
    <w:basedOn w:val="Normal"/>
    <w:link w:val="Other"/>
    <w:pPr>
      <w:spacing w:line="276"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71" w:lineRule="auto"/>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Svi2EVqMOi1bCAeGObCgSf5D6A==">CgMxLjA4AHIhMXgyYW9zUHNSSWJoaWlCZy14UXlqTEZ3dl9ZclkzR211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5904</Characters>
  <Application>Microsoft Office Word</Application>
  <DocSecurity>0</DocSecurity>
  <Lines>49</Lines>
  <Paragraphs>13</Paragraphs>
  <ScaleCrop>false</ScaleCrop>
  <Company>Microsoft</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2024-05-06T02:17:00Z</dcterms:created>
  <dcterms:modified xsi:type="dcterms:W3CDTF">2024-05-07T08:12:00Z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42d20dc875ba391162c46c5ebffb2663cd7c267dfc85ee993c79f1adb4294bab</vt:lpwstr>
  </property>
</Properties>
</file>