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428E" w:rsidRPr="00F2440C" w:rsidRDefault="00FF6F54" w:rsidP="00655F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2440C">
        <w:rPr>
          <w:rFonts w:ascii="Arial" w:hAnsi="Arial" w:cs="Arial"/>
          <w:b/>
          <w:color w:val="010000"/>
          <w:sz w:val="20"/>
        </w:rPr>
        <w:t>IPA: Board Decision</w:t>
      </w:r>
    </w:p>
    <w:p w14:paraId="00000002" w14:textId="3A41F4C3" w:rsidR="0048428E" w:rsidRPr="00F2440C" w:rsidRDefault="00FF6F54" w:rsidP="00655F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 xml:space="preserve">On May 2, 2024, I.P.A Investment Group JSC announced Decision No. </w:t>
      </w:r>
      <w:r w:rsidR="00F2440C" w:rsidRPr="00F2440C">
        <w:rPr>
          <w:rFonts w:ascii="Arial" w:hAnsi="Arial" w:cs="Arial"/>
          <w:color w:val="010000"/>
          <w:sz w:val="20"/>
        </w:rPr>
        <w:t>49</w:t>
      </w:r>
      <w:r w:rsidRPr="00F2440C">
        <w:rPr>
          <w:rFonts w:ascii="Arial" w:hAnsi="Arial" w:cs="Arial"/>
          <w:color w:val="010000"/>
          <w:sz w:val="20"/>
        </w:rPr>
        <w:t xml:space="preserve">/2024/QD-IPA-CTHDQ on the record date for the list of shareholders with </w:t>
      </w:r>
      <w:r w:rsidR="00F2440C" w:rsidRPr="00F2440C">
        <w:rPr>
          <w:rFonts w:ascii="Arial" w:hAnsi="Arial" w:cs="Arial"/>
          <w:color w:val="010000"/>
          <w:sz w:val="20"/>
        </w:rPr>
        <w:t xml:space="preserve">the </w:t>
      </w:r>
      <w:r w:rsidRPr="00F2440C">
        <w:rPr>
          <w:rFonts w:ascii="Arial" w:hAnsi="Arial" w:cs="Arial"/>
          <w:color w:val="010000"/>
          <w:sz w:val="20"/>
        </w:rPr>
        <w:t xml:space="preserve">right </w:t>
      </w:r>
      <w:r w:rsidR="00F2440C" w:rsidRPr="00F2440C">
        <w:rPr>
          <w:rFonts w:ascii="Arial" w:hAnsi="Arial" w:cs="Arial"/>
          <w:color w:val="010000"/>
          <w:sz w:val="20"/>
        </w:rPr>
        <w:t>to attend</w:t>
      </w:r>
      <w:r w:rsidRPr="00F2440C">
        <w:rPr>
          <w:rFonts w:ascii="Arial" w:hAnsi="Arial" w:cs="Arial"/>
          <w:color w:val="010000"/>
          <w:sz w:val="20"/>
        </w:rPr>
        <w:t xml:space="preserve"> the Annual General Meeting of Shareholders 2024 as follows:</w:t>
      </w:r>
    </w:p>
    <w:p w14:paraId="00000003" w14:textId="32B1C6C4" w:rsidR="0048428E" w:rsidRPr="00F2440C" w:rsidRDefault="00FF6F54" w:rsidP="00655F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 xml:space="preserve">‎‎Article 1. Record the list of shareholders with the right </w:t>
      </w:r>
      <w:r w:rsidR="00F2440C" w:rsidRPr="00F2440C">
        <w:rPr>
          <w:rFonts w:ascii="Arial" w:hAnsi="Arial" w:cs="Arial"/>
          <w:color w:val="010000"/>
          <w:sz w:val="20"/>
        </w:rPr>
        <w:t>to attend</w:t>
      </w:r>
      <w:r w:rsidRPr="00F2440C">
        <w:rPr>
          <w:rFonts w:ascii="Arial" w:hAnsi="Arial" w:cs="Arial"/>
          <w:color w:val="010000"/>
          <w:sz w:val="20"/>
        </w:rPr>
        <w:t xml:space="preserve"> the Annual General Meeting of Shareholders 2024 of I.P.A Investment Group JSC as follows:</w:t>
      </w:r>
    </w:p>
    <w:p w14:paraId="00000004" w14:textId="77777777" w:rsidR="0048428E" w:rsidRPr="00F2440C" w:rsidRDefault="00FF6F54" w:rsidP="00655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Record date: May 23, 2024.</w:t>
      </w:r>
    </w:p>
    <w:p w14:paraId="00000005" w14:textId="77777777" w:rsidR="0048428E" w:rsidRPr="00F2440C" w:rsidRDefault="00FF6F54" w:rsidP="00655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F2440C">
        <w:rPr>
          <w:rFonts w:ascii="Arial" w:hAnsi="Arial" w:cs="Arial"/>
          <w:color w:val="010000"/>
          <w:sz w:val="20"/>
        </w:rPr>
        <w:t>Exercise rate: 1 share - 1 voting right</w:t>
      </w:r>
    </w:p>
    <w:p w14:paraId="00000006" w14:textId="77777777" w:rsidR="0048428E" w:rsidRPr="00F2440C" w:rsidRDefault="00FF6F54" w:rsidP="00655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Execution time: The Company will announce later</w:t>
      </w:r>
    </w:p>
    <w:p w14:paraId="00000007" w14:textId="77777777" w:rsidR="0048428E" w:rsidRPr="00F2440C" w:rsidRDefault="00FF6F54" w:rsidP="00655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Implementation venue: The Company will announce later</w:t>
      </w:r>
    </w:p>
    <w:p w14:paraId="00000008" w14:textId="77777777" w:rsidR="0048428E" w:rsidRPr="00F2440C" w:rsidRDefault="00FF6F54" w:rsidP="00655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Meeting contents: According to the provisions of law and the Company's Charter (specific content will be announced later by the Company).</w:t>
      </w:r>
    </w:p>
    <w:p w14:paraId="00000009" w14:textId="77777777" w:rsidR="0048428E" w:rsidRPr="00F2440C" w:rsidRDefault="00FF6F54" w:rsidP="00655F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0A" w14:textId="692308C5" w:rsidR="0048428E" w:rsidRPr="00F2440C" w:rsidRDefault="00FF6F54" w:rsidP="00655F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440C">
        <w:rPr>
          <w:rFonts w:ascii="Arial" w:hAnsi="Arial" w:cs="Arial"/>
          <w:color w:val="010000"/>
          <w:sz w:val="20"/>
        </w:rPr>
        <w:t>The Executive Board, relevant departments, and individuals are responsible for implementing this Decision./.</w:t>
      </w:r>
      <w:bookmarkEnd w:id="0"/>
    </w:p>
    <w:sectPr w:rsidR="0048428E" w:rsidRPr="00F2440C" w:rsidSect="006E1C1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1AEC"/>
    <w:multiLevelType w:val="multilevel"/>
    <w:tmpl w:val="1B6A259E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E"/>
    <w:rsid w:val="0048428E"/>
    <w:rsid w:val="00655FEA"/>
    <w:rsid w:val="006E1C1A"/>
    <w:rsid w:val="00F2440C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57BB"/>
  <w15:docId w15:val="{4DD7F3EE-1C2D-4379-A2C0-53EE63A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Eac527RyYGODWCc4IGzBshe+A==">CgMxLjAyCGguZ2pkZ3hzOAByITF6U0lWNlBMOUtsXzZDMWhBTkVoVDdBNUVyVkY0dTFwNg==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2024-05-07T03:47:00Z</dcterms:created>
  <dcterms:modified xsi:type="dcterms:W3CDTF">2024-05-08T04:20:00Z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1f55c21eecdb063bb756984b62bcc7c09ed3adbaf58df3b38d3a6dd6ddea869a</vt:lpwstr>
  </property>
</Properties>
</file>