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CA" w:rsidRPr="00027F88" w:rsidRDefault="00027F88" w:rsidP="00D31639">
      <w:pPr>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sz w:val="20"/>
        </w:rPr>
        <w:t>KKC: Annual General Mandate 2024</w:t>
      </w:r>
    </w:p>
    <w:p w:rsidR="002C75CA" w:rsidRPr="00027F88" w:rsidRDefault="00027F88" w:rsidP="00D3163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On April 26, 2024, Thanh Thai Group Joint Stock Company announced Mandate No. 01/2024/NQ-DHDCD as follows:</w:t>
      </w:r>
    </w:p>
    <w:p w:rsidR="002C75CA" w:rsidRPr="00027F88" w:rsidRDefault="00027F88" w:rsidP="00D3163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1: Approve the Board of Directors and the Board of </w:t>
      </w:r>
      <w:proofErr w:type="spellStart"/>
      <w:r>
        <w:rPr>
          <w:rFonts w:ascii="Arial" w:hAnsi="Arial"/>
          <w:sz w:val="20"/>
        </w:rPr>
        <w:t>Managers's</w:t>
      </w:r>
      <w:proofErr w:type="spellEnd"/>
      <w:r>
        <w:rPr>
          <w:rFonts w:ascii="Arial" w:hAnsi="Arial"/>
          <w:sz w:val="20"/>
        </w:rPr>
        <w:t xml:space="preserve"> activities report on activities 2023, plan and operating orientation 2024. </w:t>
      </w:r>
    </w:p>
    <w:p w:rsidR="002C75CA" w:rsidRPr="00027F88" w:rsidRDefault="00027F88" w:rsidP="00027F88">
      <w:pPr>
        <w:numPr>
          <w:ilvl w:val="0"/>
          <w:numId w:val="1"/>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Production and business results 2023;</w:t>
      </w:r>
    </w:p>
    <w:p w:rsidR="002C75CA" w:rsidRPr="00027F88" w:rsidRDefault="00027F88" w:rsidP="00027F88">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4"/>
        <w:gridCol w:w="2076"/>
        <w:gridCol w:w="2215"/>
        <w:gridCol w:w="2371"/>
      </w:tblGrid>
      <w:tr w:rsidR="002C75CA" w:rsidRPr="00027F88" w:rsidTr="00027F88">
        <w:tc>
          <w:tcPr>
            <w:tcW w:w="1305"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Target</w:t>
            </w:r>
          </w:p>
        </w:tc>
        <w:tc>
          <w:tcPr>
            <w:tcW w:w="1151"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 2023</w:t>
            </w:r>
          </w:p>
        </w:tc>
        <w:tc>
          <w:tcPr>
            <w:tcW w:w="1228"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Results 2023</w:t>
            </w:r>
          </w:p>
        </w:tc>
        <w:tc>
          <w:tcPr>
            <w:tcW w:w="1315"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Completion level</w:t>
            </w:r>
          </w:p>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r>
      <w:tr w:rsidR="002C75CA" w:rsidRPr="00027F88" w:rsidTr="00027F88">
        <w:tc>
          <w:tcPr>
            <w:tcW w:w="1305"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Net revenue</w:t>
            </w:r>
          </w:p>
        </w:tc>
        <w:tc>
          <w:tcPr>
            <w:tcW w:w="1151"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300,000,000,000</w:t>
            </w:r>
          </w:p>
        </w:tc>
        <w:tc>
          <w:tcPr>
            <w:tcW w:w="1228"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103,196,794,073</w:t>
            </w:r>
          </w:p>
        </w:tc>
        <w:tc>
          <w:tcPr>
            <w:tcW w:w="1315"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34.40%</w:t>
            </w:r>
          </w:p>
        </w:tc>
      </w:tr>
      <w:tr w:rsidR="002C75CA" w:rsidRPr="00027F88" w:rsidTr="00027F88">
        <w:tc>
          <w:tcPr>
            <w:tcW w:w="1305"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1151"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1,000,000,000</w:t>
            </w:r>
          </w:p>
        </w:tc>
        <w:tc>
          <w:tcPr>
            <w:tcW w:w="1228"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330,371,952</w:t>
            </w:r>
          </w:p>
        </w:tc>
        <w:tc>
          <w:tcPr>
            <w:tcW w:w="1315"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33.04%</w:t>
            </w:r>
          </w:p>
        </w:tc>
      </w:tr>
      <w:tr w:rsidR="002C75CA" w:rsidRPr="00027F88" w:rsidTr="00027F88">
        <w:tc>
          <w:tcPr>
            <w:tcW w:w="1305"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1151"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800,000,000</w:t>
            </w:r>
          </w:p>
        </w:tc>
        <w:tc>
          <w:tcPr>
            <w:tcW w:w="1228"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330,371,952</w:t>
            </w:r>
          </w:p>
        </w:tc>
        <w:tc>
          <w:tcPr>
            <w:tcW w:w="1315"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41.30%</w:t>
            </w:r>
          </w:p>
        </w:tc>
      </w:tr>
      <w:tr w:rsidR="002C75CA" w:rsidRPr="00027F88" w:rsidTr="00027F88">
        <w:tc>
          <w:tcPr>
            <w:tcW w:w="1305"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Expected dividends (%)</w:t>
            </w:r>
          </w:p>
        </w:tc>
        <w:tc>
          <w:tcPr>
            <w:tcW w:w="1151"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w:t>
            </w:r>
          </w:p>
        </w:tc>
        <w:tc>
          <w:tcPr>
            <w:tcW w:w="1228"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w:t>
            </w:r>
          </w:p>
        </w:tc>
        <w:tc>
          <w:tcPr>
            <w:tcW w:w="1315"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r>
    </w:tbl>
    <w:p w:rsidR="002C75CA" w:rsidRPr="00027F88" w:rsidRDefault="00027F88" w:rsidP="00D3163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Net revenue 2023 reached 103 billion, completing 34.40% of the plan proposed at the Annual General Meeting of Shareholders 2023.  In 2023, profit targets gradually recovered comparing to the same period of 2022, achieving more than VND 330 million, but with the industry's common challenges, the company has not still achieved proposed plan. </w:t>
      </w:r>
    </w:p>
    <w:p w:rsidR="002C75CA" w:rsidRPr="00027F88" w:rsidRDefault="00027F88" w:rsidP="00027F88">
      <w:pPr>
        <w:numPr>
          <w:ilvl w:val="0"/>
          <w:numId w:val="1"/>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52"/>
        <w:gridCol w:w="2936"/>
        <w:gridCol w:w="3028"/>
      </w:tblGrid>
      <w:tr w:rsidR="002C75CA" w:rsidRPr="00027F88" w:rsidTr="00027F88">
        <w:tc>
          <w:tcPr>
            <w:tcW w:w="1693"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Targets</w:t>
            </w:r>
          </w:p>
        </w:tc>
        <w:tc>
          <w:tcPr>
            <w:tcW w:w="1628"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Unit</w:t>
            </w:r>
          </w:p>
        </w:tc>
        <w:tc>
          <w:tcPr>
            <w:tcW w:w="1679"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Plan</w:t>
            </w:r>
          </w:p>
        </w:tc>
      </w:tr>
      <w:tr w:rsidR="002C75CA" w:rsidRPr="00027F88" w:rsidTr="00027F88">
        <w:tc>
          <w:tcPr>
            <w:tcW w:w="1693"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Net revenue</w:t>
            </w:r>
          </w:p>
        </w:tc>
        <w:tc>
          <w:tcPr>
            <w:tcW w:w="1628"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1679"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250,000,000,000</w:t>
            </w:r>
          </w:p>
        </w:tc>
      </w:tr>
      <w:tr w:rsidR="002C75CA" w:rsidRPr="00027F88" w:rsidTr="00027F88">
        <w:tc>
          <w:tcPr>
            <w:tcW w:w="1693"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Profit before tax</w:t>
            </w:r>
          </w:p>
        </w:tc>
        <w:tc>
          <w:tcPr>
            <w:tcW w:w="1628"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1679"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1,000,000,000</w:t>
            </w:r>
          </w:p>
        </w:tc>
      </w:tr>
      <w:tr w:rsidR="002C75CA" w:rsidRPr="00027F88" w:rsidTr="00027F88">
        <w:tc>
          <w:tcPr>
            <w:tcW w:w="1693"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Profit after tax</w:t>
            </w:r>
          </w:p>
        </w:tc>
        <w:tc>
          <w:tcPr>
            <w:tcW w:w="1628"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VND</w:t>
            </w:r>
          </w:p>
        </w:tc>
        <w:tc>
          <w:tcPr>
            <w:tcW w:w="1679"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800,000,000</w:t>
            </w:r>
          </w:p>
        </w:tc>
      </w:tr>
      <w:tr w:rsidR="002C75CA" w:rsidRPr="00027F88" w:rsidTr="00027F88">
        <w:tc>
          <w:tcPr>
            <w:tcW w:w="1693"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Dividend</w:t>
            </w:r>
          </w:p>
        </w:tc>
        <w:tc>
          <w:tcPr>
            <w:tcW w:w="1628"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tc>
        <w:tc>
          <w:tcPr>
            <w:tcW w:w="1679"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0%</w:t>
            </w:r>
          </w:p>
        </w:tc>
      </w:tr>
    </w:tbl>
    <w:p w:rsidR="002C75CA" w:rsidRPr="00027F88" w:rsidRDefault="00027F88" w:rsidP="00D3163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2: Approve the Report on activities results 2023, plan 2024 of the Thanh Thai Group Joint Stock Company’s Supervisory Board. </w:t>
      </w:r>
    </w:p>
    <w:p w:rsidR="002C75CA" w:rsidRPr="00027F88" w:rsidRDefault="00027F88" w:rsidP="00D3163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3: Approve the Audited Financial Statements 2023. </w:t>
      </w:r>
    </w:p>
    <w:p w:rsidR="002C75CA" w:rsidRPr="00027F88" w:rsidRDefault="00027F88" w:rsidP="00D3163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4: Approve the settlement of remuneration for the Board of Directors, the Supervisory Board’s members 2023 and remuneration estimate 2024.  </w:t>
      </w:r>
    </w:p>
    <w:p w:rsidR="002C75CA" w:rsidRPr="00027F88" w:rsidRDefault="00027F88" w:rsidP="00D3163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5: Approve the selection of the audit company for the Financial Statements 2024 </w:t>
      </w:r>
    </w:p>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6: Approve the plan on profit distribution 2023 and the business plan 2024.  </w:t>
      </w:r>
    </w:p>
    <w:p w:rsidR="002C75CA" w:rsidRPr="00027F88" w:rsidRDefault="00027F88" w:rsidP="00027F88">
      <w:pPr>
        <w:numPr>
          <w:ilvl w:val="0"/>
          <w:numId w:val="1"/>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The plan on profit distribution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7"/>
        <w:gridCol w:w="4627"/>
        <w:gridCol w:w="3632"/>
      </w:tblGrid>
      <w:tr w:rsidR="002C75CA" w:rsidRPr="00027F88" w:rsidTr="00027F88">
        <w:tc>
          <w:tcPr>
            <w:tcW w:w="420"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No.</w:t>
            </w:r>
          </w:p>
        </w:tc>
        <w:tc>
          <w:tcPr>
            <w:tcW w:w="2566"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Content</w:t>
            </w:r>
          </w:p>
        </w:tc>
        <w:tc>
          <w:tcPr>
            <w:tcW w:w="2014"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Value</w:t>
            </w:r>
          </w:p>
        </w:tc>
      </w:tr>
      <w:tr w:rsidR="002C75CA" w:rsidRPr="00027F88" w:rsidTr="00027F88">
        <w:tc>
          <w:tcPr>
            <w:tcW w:w="420"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566"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 in 2023</w:t>
            </w:r>
          </w:p>
        </w:tc>
        <w:tc>
          <w:tcPr>
            <w:tcW w:w="2014"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330,371,952</w:t>
            </w:r>
          </w:p>
        </w:tc>
      </w:tr>
      <w:tr w:rsidR="002C75CA" w:rsidRPr="00027F88" w:rsidTr="00027F88">
        <w:tc>
          <w:tcPr>
            <w:tcW w:w="420"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566"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accumulated profit after tax by the end of 2023</w:t>
            </w:r>
          </w:p>
        </w:tc>
        <w:tc>
          <w:tcPr>
            <w:tcW w:w="2014"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(14,248,422,827)</w:t>
            </w:r>
          </w:p>
        </w:tc>
      </w:tr>
      <w:tr w:rsidR="002C75CA" w:rsidRPr="00027F88" w:rsidTr="00027F88">
        <w:tc>
          <w:tcPr>
            <w:tcW w:w="420"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2566"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for dividend payment</w:t>
            </w:r>
          </w:p>
        </w:tc>
        <w:tc>
          <w:tcPr>
            <w:tcW w:w="2014"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w:t>
            </w:r>
          </w:p>
        </w:tc>
      </w:tr>
      <w:tr w:rsidR="002C75CA" w:rsidRPr="00027F88" w:rsidTr="00027F88">
        <w:tc>
          <w:tcPr>
            <w:tcW w:w="420"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2566"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Appropriation for funds</w:t>
            </w:r>
          </w:p>
        </w:tc>
        <w:tc>
          <w:tcPr>
            <w:tcW w:w="2014"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w:t>
            </w:r>
          </w:p>
        </w:tc>
      </w:tr>
      <w:tr w:rsidR="002C75CA" w:rsidRPr="00027F88" w:rsidTr="00027F88">
        <w:tc>
          <w:tcPr>
            <w:tcW w:w="420"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2566"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Remaining profit after tax</w:t>
            </w:r>
          </w:p>
        </w:tc>
        <w:tc>
          <w:tcPr>
            <w:tcW w:w="2014"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(14,248,422,827)</w:t>
            </w:r>
          </w:p>
        </w:tc>
      </w:tr>
    </w:tbl>
    <w:p w:rsidR="002C75CA" w:rsidRPr="00027F88" w:rsidRDefault="00027F88" w:rsidP="00D3163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7: Approve the investment plan for the Serviced Apartment and Office Tower at the venue:  No. 6 Nguyen </w:t>
      </w:r>
      <w:proofErr w:type="spellStart"/>
      <w:r>
        <w:rPr>
          <w:rFonts w:ascii="Arial" w:hAnsi="Arial"/>
          <w:sz w:val="20"/>
        </w:rPr>
        <w:t>Trai</w:t>
      </w:r>
      <w:proofErr w:type="spellEnd"/>
      <w:r>
        <w:rPr>
          <w:rFonts w:ascii="Arial" w:hAnsi="Arial"/>
          <w:sz w:val="20"/>
        </w:rPr>
        <w:t xml:space="preserve">, May </w:t>
      </w:r>
      <w:proofErr w:type="gramStart"/>
      <w:r>
        <w:rPr>
          <w:rFonts w:ascii="Arial" w:hAnsi="Arial"/>
          <w:sz w:val="20"/>
        </w:rPr>
        <w:t>To</w:t>
      </w:r>
      <w:proofErr w:type="gramEnd"/>
      <w:r>
        <w:rPr>
          <w:rFonts w:ascii="Arial" w:hAnsi="Arial"/>
          <w:sz w:val="20"/>
        </w:rPr>
        <w:t xml:space="preserve">, Ngo </w:t>
      </w:r>
      <w:proofErr w:type="spellStart"/>
      <w:r>
        <w:rPr>
          <w:rFonts w:ascii="Arial" w:hAnsi="Arial"/>
          <w:sz w:val="20"/>
        </w:rPr>
        <w:t>Quyen</w:t>
      </w:r>
      <w:proofErr w:type="spellEnd"/>
      <w:r>
        <w:rPr>
          <w:rFonts w:ascii="Arial" w:hAnsi="Arial"/>
          <w:sz w:val="20"/>
        </w:rPr>
        <w:t xml:space="preserve">, Hai </w:t>
      </w:r>
      <w:proofErr w:type="spellStart"/>
      <w:r>
        <w:rPr>
          <w:rFonts w:ascii="Arial" w:hAnsi="Arial"/>
          <w:sz w:val="20"/>
        </w:rPr>
        <w:t>Phong</w:t>
      </w:r>
      <w:proofErr w:type="spellEnd"/>
      <w:r>
        <w:rPr>
          <w:rFonts w:ascii="Arial" w:hAnsi="Arial"/>
          <w:sz w:val="20"/>
        </w:rPr>
        <w:t xml:space="preserve"> </w:t>
      </w:r>
    </w:p>
    <w:p w:rsidR="002C75CA" w:rsidRPr="00027F88" w:rsidRDefault="00027F88" w:rsidP="00D3163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8: Approve the transfer of The Investment and Development Fund to the Bonus Fund</w:t>
      </w:r>
    </w:p>
    <w:p w:rsidR="002C75CA" w:rsidRPr="00027F88" w:rsidRDefault="00027F88" w:rsidP="00D3163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9: Approve the dismissal and election on changing the Board of </w:t>
      </w:r>
      <w:proofErr w:type="spellStart"/>
      <w:r>
        <w:rPr>
          <w:rFonts w:ascii="Arial" w:hAnsi="Arial"/>
          <w:sz w:val="20"/>
        </w:rPr>
        <w:t>Directors’s</w:t>
      </w:r>
      <w:proofErr w:type="spellEnd"/>
      <w:r>
        <w:rPr>
          <w:rFonts w:ascii="Arial" w:hAnsi="Arial"/>
          <w:sz w:val="20"/>
        </w:rPr>
        <w:t xml:space="preserve"> members </w:t>
      </w:r>
    </w:p>
    <w:p w:rsidR="002C75CA" w:rsidRPr="00027F88" w:rsidRDefault="00027F88" w:rsidP="00027F88">
      <w:pPr>
        <w:numPr>
          <w:ilvl w:val="0"/>
          <w:numId w:val="2"/>
        </w:numPr>
        <w:pBdr>
          <w:top w:val="nil"/>
          <w:left w:val="nil"/>
          <w:bottom w:val="nil"/>
          <w:right w:val="nil"/>
          <w:between w:val="nil"/>
        </w:pBdr>
        <w:tabs>
          <w:tab w:val="left" w:pos="274"/>
        </w:tabs>
        <w:spacing w:after="120" w:line="360" w:lineRule="auto"/>
        <w:rPr>
          <w:rFonts w:ascii="Arial" w:eastAsia="Arial" w:hAnsi="Arial" w:cs="Arial"/>
          <w:sz w:val="20"/>
          <w:szCs w:val="20"/>
        </w:rPr>
      </w:pPr>
      <w:r>
        <w:rPr>
          <w:rFonts w:ascii="Arial" w:hAnsi="Arial"/>
          <w:sz w:val="20"/>
        </w:rPr>
        <w:t xml:space="preserve">Dismiss the Board of </w:t>
      </w:r>
      <w:proofErr w:type="spellStart"/>
      <w:r>
        <w:rPr>
          <w:rFonts w:ascii="Arial" w:hAnsi="Arial"/>
          <w:sz w:val="20"/>
        </w:rPr>
        <w:t>Directors's</w:t>
      </w:r>
      <w:proofErr w:type="spellEnd"/>
      <w:r>
        <w:rPr>
          <w:rFonts w:ascii="Arial" w:hAnsi="Arial"/>
          <w:sz w:val="20"/>
        </w:rPr>
        <w:t xml:space="preserve"> member towards Mr. Tran </w:t>
      </w:r>
      <w:proofErr w:type="spellStart"/>
      <w:r>
        <w:rPr>
          <w:rFonts w:ascii="Arial" w:hAnsi="Arial"/>
          <w:sz w:val="20"/>
        </w:rPr>
        <w:t>Trung</w:t>
      </w:r>
      <w:proofErr w:type="spellEnd"/>
      <w:r>
        <w:rPr>
          <w:rFonts w:ascii="Arial" w:hAnsi="Arial"/>
          <w:sz w:val="20"/>
        </w:rPr>
        <w:t xml:space="preserve"> </w:t>
      </w:r>
      <w:proofErr w:type="spellStart"/>
      <w:r>
        <w:rPr>
          <w:rFonts w:ascii="Arial" w:hAnsi="Arial"/>
          <w:sz w:val="20"/>
        </w:rPr>
        <w:t>Hieu</w:t>
      </w:r>
      <w:proofErr w:type="spellEnd"/>
      <w:r>
        <w:rPr>
          <w:rFonts w:ascii="Arial" w:hAnsi="Arial"/>
          <w:sz w:val="20"/>
        </w:rPr>
        <w:t xml:space="preserve"> from April 26, 2024. </w:t>
      </w:r>
    </w:p>
    <w:p w:rsidR="002C75CA" w:rsidRPr="00027F88" w:rsidRDefault="00027F88" w:rsidP="00027F88">
      <w:pPr>
        <w:numPr>
          <w:ilvl w:val="0"/>
          <w:numId w:val="2"/>
        </w:numPr>
        <w:pBdr>
          <w:top w:val="nil"/>
          <w:left w:val="nil"/>
          <w:bottom w:val="nil"/>
          <w:right w:val="nil"/>
          <w:between w:val="nil"/>
        </w:pBdr>
        <w:tabs>
          <w:tab w:val="left" w:pos="279"/>
        </w:tabs>
        <w:spacing w:after="120" w:line="360" w:lineRule="auto"/>
        <w:rPr>
          <w:rFonts w:ascii="Arial" w:eastAsia="Arial" w:hAnsi="Arial" w:cs="Arial"/>
          <w:sz w:val="20"/>
          <w:szCs w:val="20"/>
        </w:rPr>
      </w:pPr>
      <w:r>
        <w:rPr>
          <w:rFonts w:ascii="Arial" w:hAnsi="Arial"/>
          <w:sz w:val="20"/>
        </w:rPr>
        <w:t xml:space="preserve">Approve the results of the election on changing the Board of </w:t>
      </w:r>
      <w:proofErr w:type="spellStart"/>
      <w:r>
        <w:rPr>
          <w:rFonts w:ascii="Arial" w:hAnsi="Arial"/>
          <w:sz w:val="20"/>
        </w:rPr>
        <w:t>Directors’s</w:t>
      </w:r>
      <w:proofErr w:type="spellEnd"/>
      <w:r>
        <w:rPr>
          <w:rFonts w:ascii="Arial" w:hAnsi="Arial"/>
          <w:sz w:val="20"/>
        </w:rPr>
        <w:t xml:space="preserve"> members. As follows: </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64"/>
        <w:gridCol w:w="6252"/>
      </w:tblGrid>
      <w:tr w:rsidR="002C75CA" w:rsidRPr="00027F88" w:rsidTr="00027F88">
        <w:trPr>
          <w:jc w:val="center"/>
        </w:trPr>
        <w:tc>
          <w:tcPr>
            <w:tcW w:w="1533"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3467"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Full name</w:t>
            </w:r>
          </w:p>
        </w:tc>
      </w:tr>
      <w:tr w:rsidR="002C75CA" w:rsidRPr="00027F88" w:rsidTr="00027F88">
        <w:trPr>
          <w:jc w:val="center"/>
        </w:trPr>
        <w:tc>
          <w:tcPr>
            <w:tcW w:w="1533"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3467" w:type="pct"/>
            <w:shd w:val="clear" w:color="auto" w:fill="auto"/>
            <w:tcMar>
              <w:top w:w="0" w:type="dxa"/>
              <w:bottom w:w="0" w:type="dxa"/>
            </w:tcMar>
            <w:vAlign w:val="center"/>
          </w:tcPr>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Mac Thi </w:t>
            </w:r>
            <w:proofErr w:type="spellStart"/>
            <w:r>
              <w:rPr>
                <w:rFonts w:ascii="Arial" w:hAnsi="Arial"/>
                <w:sz w:val="20"/>
              </w:rPr>
              <w:t>Nhung</w:t>
            </w:r>
            <w:proofErr w:type="spellEnd"/>
          </w:p>
        </w:tc>
      </w:tr>
    </w:tbl>
    <w:p w:rsidR="002C75CA" w:rsidRPr="00027F88" w:rsidRDefault="00027F88" w:rsidP="00027F88">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10: Terms of enforcement</w:t>
      </w:r>
    </w:p>
    <w:p w:rsidR="002C75CA" w:rsidRPr="00027F88" w:rsidRDefault="00027F88" w:rsidP="00D3163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This General Mandate is approved by the General Meeting of Shareholders and takes effect on April 26, 2024. The Thanh Thai Group Joint Stock Company’s Board of Directors, the Board of Managers and related departments/boards/units take responsibility for implementing this Mandate, ensuring the shareholders, the Company’s benefits and adhere to the provisions of the Laws. </w:t>
      </w:r>
    </w:p>
    <w:p w:rsidR="002C75CA" w:rsidRPr="00027F88" w:rsidRDefault="00027F88" w:rsidP="00027F88">
      <w:pPr>
        <w:pBdr>
          <w:top w:val="nil"/>
          <w:left w:val="nil"/>
          <w:bottom w:val="nil"/>
          <w:right w:val="nil"/>
          <w:between w:val="nil"/>
        </w:pBdr>
        <w:tabs>
          <w:tab w:val="left" w:pos="9110"/>
        </w:tabs>
        <w:spacing w:after="120" w:line="360" w:lineRule="auto"/>
        <w:jc w:val="right"/>
        <w:rPr>
          <w:rFonts w:ascii="Arial" w:eastAsia="Arial" w:hAnsi="Arial" w:cs="Arial"/>
          <w:sz w:val="20"/>
          <w:szCs w:val="20"/>
        </w:rPr>
      </w:pPr>
      <w:bookmarkStart w:id="0" w:name="_GoBack"/>
      <w:bookmarkEnd w:id="0"/>
      <w:r>
        <w:rPr>
          <w:rFonts w:ascii="Arial" w:hAnsi="Arial"/>
          <w:sz w:val="20"/>
        </w:rPr>
        <w:tab/>
      </w:r>
    </w:p>
    <w:sectPr w:rsidR="002C75CA" w:rsidRPr="00027F88" w:rsidSect="00027F88">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799"/>
    <w:multiLevelType w:val="multilevel"/>
    <w:tmpl w:val="D1E6231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CF44550"/>
    <w:multiLevelType w:val="multilevel"/>
    <w:tmpl w:val="42CA9D74"/>
    <w:lvl w:ilvl="0">
      <w:start w:val="2"/>
      <w:numFmt w:val="bullet"/>
      <w:lvlText w:val="●"/>
      <w:lvlJc w:val="left"/>
      <w:pPr>
        <w:ind w:left="720" w:hanging="360"/>
      </w:pPr>
      <w:rPr>
        <w:rFonts w:ascii="Noto Sans Symbols" w:eastAsia="Noto Sans Symbols" w:hAnsi="Noto Sans Symbols" w:cs="Noto Sans Symbols"/>
        <w:b w:val="0"/>
        <w:i w:val="0"/>
        <w:color w:val="00000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CA"/>
    <w:rsid w:val="00027F88"/>
    <w:rsid w:val="002C75CA"/>
    <w:rsid w:val="00D3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A3D7EE-E70B-4C88-BE90-CD5561B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F535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4F535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4F5357"/>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9"/>
      <w:szCs w:val="19"/>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color w:val="4F5357"/>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20">
    <w:name w:val="Body text (2)"/>
    <w:basedOn w:val="Normal"/>
    <w:link w:val="Bodytext2"/>
    <w:rPr>
      <w:rFonts w:ascii="Times New Roman" w:eastAsia="Times New Roman" w:hAnsi="Times New Roman" w:cs="Times New Roman"/>
      <w:color w:val="FF0000"/>
      <w:sz w:val="15"/>
      <w:szCs w:val="15"/>
    </w:rPr>
  </w:style>
  <w:style w:type="paragraph" w:customStyle="1" w:styleId="Heading11">
    <w:name w:val="Heading #1"/>
    <w:basedOn w:val="Normal"/>
    <w:link w:val="Heading10"/>
    <w:pPr>
      <w:ind w:left="5020"/>
      <w:outlineLvl w:val="0"/>
    </w:pPr>
    <w:rPr>
      <w:rFonts w:ascii="Times New Roman" w:eastAsia="Times New Roman" w:hAnsi="Times New Roman" w:cs="Times New Roman"/>
      <w:b/>
      <w:bCs/>
      <w:sz w:val="30"/>
      <w:szCs w:val="30"/>
    </w:rPr>
  </w:style>
  <w:style w:type="paragraph" w:customStyle="1" w:styleId="Tablecaption0">
    <w:name w:val="Table caption"/>
    <w:basedOn w:val="Normal"/>
    <w:link w:val="Tablecaption"/>
    <w:pPr>
      <w:spacing w:line="257" w:lineRule="auto"/>
    </w:pPr>
    <w:rPr>
      <w:rFonts w:ascii="Times New Roman" w:eastAsia="Times New Roman" w:hAnsi="Times New Roman" w:cs="Times New Roman"/>
      <w:b/>
      <w:bCs/>
      <w:color w:val="4F5357"/>
    </w:rPr>
  </w:style>
  <w:style w:type="paragraph" w:customStyle="1" w:styleId="Other0">
    <w:name w:val="Other"/>
    <w:basedOn w:val="Normal"/>
    <w:link w:val="Other"/>
    <w:pPr>
      <w:spacing w:line="276" w:lineRule="auto"/>
    </w:pPr>
    <w:rPr>
      <w:rFonts w:ascii="Times New Roman" w:eastAsia="Times New Roman" w:hAnsi="Times New Roman" w:cs="Times New Roman"/>
      <w:color w:val="4F5357"/>
    </w:rPr>
  </w:style>
  <w:style w:type="paragraph" w:customStyle="1" w:styleId="Bodytext30">
    <w:name w:val="Body text (3)"/>
    <w:basedOn w:val="Normal"/>
    <w:link w:val="Bodytext3"/>
    <w:pPr>
      <w:ind w:left="640" w:firstLine="360"/>
    </w:pPr>
    <w:rPr>
      <w:rFonts w:ascii="Times New Roman" w:eastAsia="Times New Roman" w:hAnsi="Times New Roman" w:cs="Times New Roman"/>
      <w:i/>
      <w:iCs/>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Dugp8l5n8TpZfKPMtEpZ1Ie9WA==">CgMxLjA4AHIhMUlTQm9qTkV0cm5aOC1XNzhITTVHSU85UjA2b0VmQnQ0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Company>Microsoft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2024-05-06T02:44:00Z</dcterms:created>
  <dcterms:modified xsi:type="dcterms:W3CDTF">2024-05-07T08:12:00Z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b54e581677da11a7702e61e0109b0846521b56ed7e66c6efac8cbb79f62cb9d0</vt:lpwstr>
  </property>
</Properties>
</file>