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b/>
          <w:color w:val="010000"/>
          <w:sz w:val="20"/>
          <w:szCs w:val="20"/>
        </w:rPr>
      </w:pPr>
      <w:bookmarkStart w:id="0" w:name="_GoBack"/>
      <w:bookmarkEnd w:id="0"/>
      <w:r>
        <w:rPr>
          <w:rFonts w:ascii="Arial" w:hAnsi="Arial"/>
          <w:b/>
          <w:color w:val="010000"/>
          <w:sz w:val="20"/>
        </w:rPr>
        <w:t>NQB: Annual General Mandate 2024</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On April 25, 2024, Quang Binh Water Supply Joint Stock Company announced General Mandate No. 01/2024/NQ-DHDCD as follows:</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1. Approve the Report of the Board of Directors on the operating results of the Board of Directors in 2023 and plan for 2024; Report of the Board of Managers on the production and business results in 2023 and the production and business plan for 2024</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Some specific targets are as follows:</w:t>
      </w:r>
    </w:p>
    <w:p w:rsidR="001E5A51" w:rsidRPr="004606C9" w:rsidRDefault="004606C9" w:rsidP="004606C9">
      <w:pPr>
        <w:numPr>
          <w:ilvl w:val="0"/>
          <w:numId w:val="1"/>
        </w:numPr>
        <w:pBdr>
          <w:top w:val="nil"/>
          <w:left w:val="nil"/>
          <w:bottom w:val="nil"/>
          <w:right w:val="nil"/>
          <w:between w:val="nil"/>
        </w:pBdr>
        <w:tabs>
          <w:tab w:val="left" w:pos="270"/>
        </w:tabs>
        <w:spacing w:after="120" w:line="360" w:lineRule="auto"/>
        <w:ind w:left="0" w:firstLine="0"/>
        <w:rPr>
          <w:rFonts w:ascii="Arial" w:eastAsia="Arial" w:hAnsi="Arial" w:cs="Arial"/>
          <w:color w:val="010000"/>
          <w:sz w:val="20"/>
          <w:szCs w:val="20"/>
        </w:rPr>
      </w:pPr>
      <w:r>
        <w:rPr>
          <w:rFonts w:ascii="Arial" w:hAnsi="Arial"/>
          <w:color w:val="010000"/>
          <w:sz w:val="20"/>
        </w:rPr>
        <w:t xml:space="preserve"> Production and business results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17"/>
        <w:gridCol w:w="1057"/>
        <w:gridCol w:w="1677"/>
        <w:gridCol w:w="1683"/>
        <w:gridCol w:w="1683"/>
      </w:tblGrid>
      <w:tr w:rsidR="001E5A51" w:rsidRPr="004606C9" w:rsidTr="004606C9">
        <w:tc>
          <w:tcPr>
            <w:tcW w:w="161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Targets</w:t>
            </w:r>
          </w:p>
        </w:tc>
        <w:tc>
          <w:tcPr>
            <w:tcW w:w="58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Unit</w:t>
            </w:r>
          </w:p>
        </w:tc>
        <w:tc>
          <w:tcPr>
            <w:tcW w:w="93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Plan 2023</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 xml:space="preserve">Results 2023 </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Compared to the plan (%)</w:t>
            </w:r>
          </w:p>
        </w:tc>
      </w:tr>
      <w:tr w:rsidR="001E5A51" w:rsidRPr="004606C9" w:rsidTr="004606C9">
        <w:tc>
          <w:tcPr>
            <w:tcW w:w="161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58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93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121.6</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129.043</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106%</w:t>
            </w:r>
          </w:p>
        </w:tc>
      </w:tr>
      <w:tr w:rsidR="001E5A51" w:rsidRPr="004606C9" w:rsidTr="004606C9">
        <w:tc>
          <w:tcPr>
            <w:tcW w:w="161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Total expenses</w:t>
            </w:r>
          </w:p>
        </w:tc>
        <w:tc>
          <w:tcPr>
            <w:tcW w:w="58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93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107.3</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112.7</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105%</w:t>
            </w:r>
          </w:p>
        </w:tc>
      </w:tr>
      <w:tr w:rsidR="001E5A51" w:rsidRPr="004606C9" w:rsidTr="004606C9">
        <w:tc>
          <w:tcPr>
            <w:tcW w:w="161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58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93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14.300</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16.608</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116%</w:t>
            </w:r>
          </w:p>
        </w:tc>
      </w:tr>
      <w:tr w:rsidR="001E5A51" w:rsidRPr="004606C9" w:rsidTr="004606C9">
        <w:tc>
          <w:tcPr>
            <w:tcW w:w="161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Dividend rate</w:t>
            </w:r>
          </w:p>
        </w:tc>
        <w:tc>
          <w:tcPr>
            <w:tcW w:w="58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w:t>
            </w:r>
          </w:p>
        </w:tc>
        <w:tc>
          <w:tcPr>
            <w:tcW w:w="93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3.00</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3.50</w:t>
            </w:r>
          </w:p>
        </w:tc>
        <w:tc>
          <w:tcPr>
            <w:tcW w:w="93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117%</w:t>
            </w:r>
          </w:p>
        </w:tc>
      </w:tr>
    </w:tbl>
    <w:p w:rsidR="001E5A51" w:rsidRPr="004606C9" w:rsidRDefault="004606C9" w:rsidP="004606C9">
      <w:pPr>
        <w:numPr>
          <w:ilvl w:val="0"/>
          <w:numId w:val="1"/>
        </w:numPr>
        <w:pBdr>
          <w:top w:val="nil"/>
          <w:left w:val="nil"/>
          <w:bottom w:val="nil"/>
          <w:right w:val="nil"/>
          <w:between w:val="nil"/>
        </w:pBdr>
        <w:tabs>
          <w:tab w:val="left" w:pos="270"/>
        </w:tabs>
        <w:spacing w:after="120" w:line="360" w:lineRule="auto"/>
        <w:ind w:left="0" w:firstLine="0"/>
        <w:rPr>
          <w:rFonts w:ascii="Arial" w:eastAsia="Arial" w:hAnsi="Arial" w:cs="Arial"/>
          <w:color w:val="010000"/>
          <w:sz w:val="20"/>
          <w:szCs w:val="20"/>
        </w:rPr>
      </w:pPr>
      <w:r>
        <w:rPr>
          <w:rFonts w:ascii="Arial" w:hAnsi="Arial"/>
          <w:color w:val="010000"/>
          <w:sz w:val="20"/>
        </w:rPr>
        <w:t xml:space="preserve"> Production and business plan for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9"/>
        <w:gridCol w:w="1194"/>
        <w:gridCol w:w="1275"/>
        <w:gridCol w:w="1647"/>
        <w:gridCol w:w="2272"/>
      </w:tblGrid>
      <w:tr w:rsidR="001E5A51" w:rsidRPr="004606C9" w:rsidTr="004606C9">
        <w:tc>
          <w:tcPr>
            <w:tcW w:w="1458"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Main targets:</w:t>
            </w:r>
          </w:p>
        </w:tc>
        <w:tc>
          <w:tcPr>
            <w:tcW w:w="662"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Unit</w:t>
            </w:r>
          </w:p>
        </w:tc>
        <w:tc>
          <w:tcPr>
            <w:tcW w:w="70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Results 2023</w:t>
            </w:r>
          </w:p>
        </w:tc>
        <w:tc>
          <w:tcPr>
            <w:tcW w:w="91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Plan 2024</w:t>
            </w:r>
          </w:p>
        </w:tc>
        <w:tc>
          <w:tcPr>
            <w:tcW w:w="12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Comparison of plan 2024 /results 2023 (%)</w:t>
            </w:r>
          </w:p>
        </w:tc>
      </w:tr>
      <w:tr w:rsidR="001E5A51" w:rsidRPr="004606C9" w:rsidTr="004606C9">
        <w:tc>
          <w:tcPr>
            <w:tcW w:w="1458"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Total revenue:</w:t>
            </w:r>
          </w:p>
        </w:tc>
        <w:tc>
          <w:tcPr>
            <w:tcW w:w="662"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70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129.0</w:t>
            </w:r>
          </w:p>
        </w:tc>
        <w:tc>
          <w:tcPr>
            <w:tcW w:w="91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134.0</w:t>
            </w:r>
          </w:p>
        </w:tc>
        <w:tc>
          <w:tcPr>
            <w:tcW w:w="12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104%</w:t>
            </w:r>
          </w:p>
        </w:tc>
      </w:tr>
      <w:tr w:rsidR="001E5A51" w:rsidRPr="004606C9" w:rsidTr="004606C9">
        <w:tc>
          <w:tcPr>
            <w:tcW w:w="1458"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662"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70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16.608</w:t>
            </w:r>
          </w:p>
        </w:tc>
        <w:tc>
          <w:tcPr>
            <w:tcW w:w="91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17.4</w:t>
            </w:r>
          </w:p>
        </w:tc>
        <w:tc>
          <w:tcPr>
            <w:tcW w:w="12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104.7%</w:t>
            </w:r>
          </w:p>
        </w:tc>
      </w:tr>
      <w:tr w:rsidR="001E5A51" w:rsidRPr="004606C9" w:rsidTr="004606C9">
        <w:tc>
          <w:tcPr>
            <w:tcW w:w="1458"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Dividend rate</w:t>
            </w:r>
          </w:p>
        </w:tc>
        <w:tc>
          <w:tcPr>
            <w:tcW w:w="662"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w:t>
            </w:r>
          </w:p>
        </w:tc>
        <w:tc>
          <w:tcPr>
            <w:tcW w:w="707"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3.5</w:t>
            </w:r>
          </w:p>
        </w:tc>
        <w:tc>
          <w:tcPr>
            <w:tcW w:w="913"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3.6</w:t>
            </w:r>
          </w:p>
        </w:tc>
        <w:tc>
          <w:tcPr>
            <w:tcW w:w="12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102.85%</w:t>
            </w:r>
          </w:p>
        </w:tc>
      </w:tr>
    </w:tbl>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2. Approve the Report on evaluating the operating results of the Supervisory Board in 2023 and plan for 2024</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3. Approve the Proposal on the Audited Financial Statement 2023.</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4. Approve the Proposal on the selection of an audit company for the Financial Statements 2024. The General Meeting of Shareholders approved the authorization for the Board of Directors to select 01 from 3 independent audit companies to audit the Financial Statements 2024 of the Company.</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5. Approve the Proposal on remuneration for the Board of Directors and the Supervisory Board in 2023 and the plan for 2024.</w:t>
      </w:r>
    </w:p>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6. Approve the Proposal on the Profit distribution of  2023 and the Dividend payment plan of 2024;</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6"/>
        <w:gridCol w:w="5728"/>
        <w:gridCol w:w="2633"/>
      </w:tblGrid>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No.</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Target</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Amount (VND)</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lastRenderedPageBreak/>
              <w:t>I</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in 2023</w:t>
            </w:r>
          </w:p>
        </w:tc>
        <w:tc>
          <w:tcPr>
            <w:tcW w:w="1460" w:type="pct"/>
            <w:shd w:val="clear" w:color="auto" w:fill="auto"/>
            <w:tcMar>
              <w:top w:w="0" w:type="dxa"/>
              <w:bottom w:w="0" w:type="dxa"/>
            </w:tcMar>
            <w:vAlign w:val="center"/>
          </w:tcPr>
          <w:p w:rsidR="001E5A51" w:rsidRPr="004606C9" w:rsidRDefault="001E5A51" w:rsidP="004606C9">
            <w:pPr>
              <w:tabs>
                <w:tab w:val="left" w:pos="270"/>
              </w:tabs>
              <w:spacing w:after="120" w:line="360" w:lineRule="auto"/>
              <w:rPr>
                <w:rFonts w:ascii="Arial" w:eastAsia="Arial" w:hAnsi="Arial" w:cs="Arial"/>
                <w:color w:val="010000"/>
                <w:sz w:val="20"/>
                <w:szCs w:val="20"/>
              </w:rPr>
            </w:pP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before tax in 2023</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16,608,765,445</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2</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Payable Corporate income tax</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3,357,813,329</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after tax in 2023</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13,250,952,116</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II</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Profit distribution and dividend payment</w:t>
            </w:r>
          </w:p>
        </w:tc>
        <w:tc>
          <w:tcPr>
            <w:tcW w:w="1460" w:type="pct"/>
            <w:shd w:val="clear" w:color="auto" w:fill="auto"/>
            <w:tcMar>
              <w:top w:w="0" w:type="dxa"/>
              <w:bottom w:w="0" w:type="dxa"/>
            </w:tcMar>
            <w:vAlign w:val="center"/>
          </w:tcPr>
          <w:p w:rsidR="001E5A51" w:rsidRPr="004606C9" w:rsidRDefault="001E5A51" w:rsidP="004606C9">
            <w:pPr>
              <w:tabs>
                <w:tab w:val="left" w:pos="270"/>
              </w:tabs>
              <w:spacing w:after="120" w:line="360" w:lineRule="auto"/>
              <w:rPr>
                <w:rFonts w:ascii="Arial" w:eastAsia="Arial" w:hAnsi="Arial" w:cs="Arial"/>
                <w:color w:val="010000"/>
                <w:sz w:val="20"/>
                <w:szCs w:val="20"/>
              </w:rPr>
            </w:pP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1</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Investment and development fund</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2,100,000,000</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2</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Bonus fund</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4,017,080,716</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Welfare fund:</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800,000,000</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4</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Bonus fund for the Administrative Board, Management Board, Chief of the Supervisory Board</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303,300,000</w:t>
            </w:r>
          </w:p>
        </w:tc>
      </w:tr>
      <w:tr w:rsidR="001E5A51" w:rsidRPr="004606C9" w:rsidTr="004606C9">
        <w:tc>
          <w:tcPr>
            <w:tcW w:w="364"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5</w:t>
            </w:r>
          </w:p>
        </w:tc>
        <w:tc>
          <w:tcPr>
            <w:tcW w:w="3176"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Dividend</w:t>
            </w:r>
          </w:p>
        </w:tc>
        <w:tc>
          <w:tcPr>
            <w:tcW w:w="1460" w:type="pct"/>
            <w:shd w:val="clear" w:color="auto" w:fill="auto"/>
            <w:tcMar>
              <w:top w:w="0" w:type="dxa"/>
              <w:bottom w:w="0" w:type="dxa"/>
            </w:tcMar>
            <w:vAlign w:val="center"/>
          </w:tcPr>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6,030,571,400</w:t>
            </w:r>
          </w:p>
        </w:tc>
      </w:tr>
    </w:tbl>
    <w:p w:rsidR="001E5A51" w:rsidRPr="004606C9" w:rsidRDefault="004606C9" w:rsidP="004606C9">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Pr>
          <w:rFonts w:ascii="Arial" w:hAnsi="Arial"/>
          <w:color w:val="010000"/>
          <w:sz w:val="20"/>
        </w:rPr>
        <w:t>‎‎Article 9. This General Mandate was approved by the General Meeting of Shareholders and takes effect on April 25, 2024. The Board of Directors, the Supervisory Board, the Board of Managers and the Shareholders of the Company are responsible for organizing the implementation of the contents of this General Mandate in accordance with the provisions of the Charter of Quang Binh Water Supply Joint Stock Company.</w:t>
      </w:r>
    </w:p>
    <w:sectPr w:rsidR="001E5A51" w:rsidRPr="004606C9" w:rsidSect="004606C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47F"/>
    <w:multiLevelType w:val="multilevel"/>
    <w:tmpl w:val="D0DAD1D0"/>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51"/>
    <w:rsid w:val="001E5A51"/>
    <w:rsid w:val="004606C9"/>
    <w:rsid w:val="00B5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3EDB02-1AE2-40FC-A7DF-DB175200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3B3C4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color w:val="3B3C4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3B3C40"/>
      <w:sz w:val="26"/>
      <w:szCs w:val="26"/>
      <w:u w:val="none"/>
    </w:rPr>
  </w:style>
  <w:style w:type="paragraph" w:styleId="BodyText">
    <w:name w:val="Body Text"/>
    <w:basedOn w:val="Normal"/>
    <w:link w:val="BodyTextChar"/>
    <w:qFormat/>
    <w:pPr>
      <w:spacing w:line="252" w:lineRule="auto"/>
      <w:ind w:firstLine="280"/>
    </w:pPr>
    <w:rPr>
      <w:rFonts w:ascii="Times New Roman" w:eastAsia="Times New Roman" w:hAnsi="Times New Roman" w:cs="Times New Roman"/>
      <w:color w:val="3B3C40"/>
      <w:sz w:val="26"/>
      <w:szCs w:val="26"/>
    </w:rPr>
  </w:style>
  <w:style w:type="paragraph" w:customStyle="1" w:styleId="Tablecaption0">
    <w:name w:val="Table caption"/>
    <w:basedOn w:val="Normal"/>
    <w:link w:val="Tablecaption"/>
    <w:rPr>
      <w:rFonts w:ascii="Times New Roman" w:eastAsia="Times New Roman" w:hAnsi="Times New Roman" w:cs="Times New Roman"/>
      <w:i/>
      <w:iCs/>
      <w:color w:val="3B3C40"/>
    </w:rPr>
  </w:style>
  <w:style w:type="paragraph" w:customStyle="1" w:styleId="Other0">
    <w:name w:val="Other"/>
    <w:basedOn w:val="Normal"/>
    <w:link w:val="Other"/>
    <w:pPr>
      <w:spacing w:line="252" w:lineRule="auto"/>
      <w:ind w:firstLine="280"/>
    </w:pPr>
    <w:rPr>
      <w:rFonts w:ascii="Times New Roman" w:eastAsia="Times New Roman" w:hAnsi="Times New Roman" w:cs="Times New Roman"/>
      <w:color w:val="3B3C40"/>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XViTEH76knAs6D1rUnU4tdbWQ==">CgMxLjA4AHIhMVN6Q3VOQmV4dmVKZEYzcTdnQjZ0QUwxalY1QjFiZFFC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2024-05-07T03:50:00Z</dcterms:created>
  <dcterms:modified xsi:type="dcterms:W3CDTF">2024-05-07T03:50:00Z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89372c74fac111f18ed5239741a0001c5760e0c08d5f3485a261ee8b8342d546</vt:lpwstr>
  </property>
</Properties>
</file>