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75" w:rsidRDefault="00272491" w:rsidP="00272491">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NTP: Annual General Mandate 2024</w:t>
      </w:r>
    </w:p>
    <w:p w:rsidR="00FC4075" w:rsidRDefault="00272491" w:rsidP="0027249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27, 2024, Tien Phong Plastic JSC announced General Mandate No. 34/NQ-DHDCDTN 2024 as follows:</w:t>
      </w:r>
    </w:p>
    <w:p w:rsidR="00FC4075" w:rsidRDefault="00272491" w:rsidP="0027249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w:t>
      </w:r>
      <w:r>
        <w:rPr>
          <w:rFonts w:ascii="Arial" w:hAnsi="Arial"/>
          <w:color w:val="010000"/>
          <w:sz w:val="20"/>
        </w:rPr>
        <w:t xml:space="preserve"> Approve the following Reports</w:t>
      </w:r>
    </w:p>
    <w:p w:rsidR="00FC4075" w:rsidRDefault="00272491" w:rsidP="00272491">
      <w:pPr>
        <w:numPr>
          <w:ilvl w:val="0"/>
          <w:numId w:val="7"/>
        </w:numPr>
        <w:pBdr>
          <w:top w:val="nil"/>
          <w:left w:val="nil"/>
          <w:bottom w:val="nil"/>
          <w:right w:val="nil"/>
          <w:between w:val="nil"/>
        </w:pBdr>
        <w:tabs>
          <w:tab w:val="left" w:pos="432"/>
          <w:tab w:val="left" w:pos="2189"/>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Activity Report 2023 and Activity Direction 2024 of the Board of Directors;</w:t>
      </w:r>
    </w:p>
    <w:p w:rsidR="00FC4075" w:rsidRDefault="00272491" w:rsidP="00272491">
      <w:pPr>
        <w:numPr>
          <w:ilvl w:val="0"/>
          <w:numId w:val="7"/>
        </w:numPr>
        <w:pBdr>
          <w:top w:val="nil"/>
          <w:left w:val="nil"/>
          <w:bottom w:val="nil"/>
          <w:right w:val="nil"/>
          <w:between w:val="nil"/>
        </w:pBdr>
        <w:tabs>
          <w:tab w:val="left" w:pos="432"/>
          <w:tab w:val="left" w:pos="2213"/>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activities 2023 of independent members of the Board of Directors in the audit committee;</w:t>
      </w:r>
    </w:p>
    <w:p w:rsidR="00FC4075" w:rsidRDefault="00272491" w:rsidP="00272491">
      <w:pPr>
        <w:numPr>
          <w:ilvl w:val="0"/>
          <w:numId w:val="7"/>
        </w:numPr>
        <w:pBdr>
          <w:top w:val="nil"/>
          <w:left w:val="nil"/>
          <w:bottom w:val="nil"/>
          <w:right w:val="nil"/>
          <w:between w:val="nil"/>
        </w:pBdr>
        <w:tabs>
          <w:tab w:val="left" w:pos="432"/>
          <w:tab w:val="left" w:pos="2213"/>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production and business results in 2023 and production and business plan in 2024;</w:t>
      </w:r>
    </w:p>
    <w:p w:rsidR="00FC4075" w:rsidRDefault="00272491" w:rsidP="00272491">
      <w:pPr>
        <w:pBdr>
          <w:top w:val="nil"/>
          <w:left w:val="nil"/>
          <w:bottom w:val="nil"/>
          <w:right w:val="nil"/>
          <w:between w:val="nil"/>
        </w:pBdr>
        <w:tabs>
          <w:tab w:val="left" w:pos="432"/>
          <w:tab w:val="left" w:pos="2213"/>
        </w:tabs>
        <w:spacing w:after="120" w:line="360" w:lineRule="auto"/>
        <w:jc w:val="both"/>
        <w:rPr>
          <w:rFonts w:ascii="Arial" w:eastAsia="Arial" w:hAnsi="Arial" w:cs="Arial"/>
          <w:color w:val="010000"/>
          <w:sz w:val="20"/>
          <w:szCs w:val="20"/>
        </w:rPr>
      </w:pPr>
      <w:r>
        <w:rPr>
          <w:rFonts w:ascii="Arial" w:hAnsi="Arial"/>
          <w:color w:val="010000"/>
          <w:sz w:val="20"/>
        </w:rPr>
        <w:t>Production and business results in 2023</w:t>
      </w:r>
    </w:p>
    <w:tbl>
      <w:tblPr>
        <w:tblStyle w:val="a"/>
        <w:tblW w:w="9017" w:type="dxa"/>
        <w:tblLayout w:type="fixed"/>
        <w:tblLook w:val="0000" w:firstRow="0" w:lastRow="0" w:firstColumn="0" w:lastColumn="0" w:noHBand="0" w:noVBand="0"/>
      </w:tblPr>
      <w:tblGrid>
        <w:gridCol w:w="365"/>
        <w:gridCol w:w="1356"/>
        <w:gridCol w:w="496"/>
        <w:gridCol w:w="1118"/>
        <w:gridCol w:w="869"/>
        <w:gridCol w:w="974"/>
        <w:gridCol w:w="777"/>
        <w:gridCol w:w="1652"/>
        <w:gridCol w:w="1410"/>
      </w:tblGrid>
      <w:tr w:rsidR="00FC4075">
        <w:trPr>
          <w:trHeight w:val="1061"/>
        </w:trPr>
        <w:tc>
          <w:tcPr>
            <w:tcW w:w="365" w:type="dxa"/>
            <w:tcBorders>
              <w:top w:val="single" w:sz="4" w:space="0" w:color="000000"/>
              <w:lef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No.</w:t>
            </w:r>
          </w:p>
        </w:tc>
        <w:tc>
          <w:tcPr>
            <w:tcW w:w="1356" w:type="dxa"/>
            <w:tcBorders>
              <w:top w:val="single" w:sz="4" w:space="0" w:color="000000"/>
              <w:lef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Targets</w:t>
            </w:r>
          </w:p>
        </w:tc>
        <w:tc>
          <w:tcPr>
            <w:tcW w:w="496" w:type="dxa"/>
            <w:tcBorders>
              <w:top w:val="single" w:sz="4" w:space="0" w:color="000000"/>
              <w:lef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Unit</w:t>
            </w:r>
          </w:p>
        </w:tc>
        <w:tc>
          <w:tcPr>
            <w:tcW w:w="1118" w:type="dxa"/>
            <w:tcBorders>
              <w:top w:val="single" w:sz="4" w:space="0" w:color="000000"/>
              <w:lef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Plan 2023</w:t>
            </w:r>
          </w:p>
        </w:tc>
        <w:tc>
          <w:tcPr>
            <w:tcW w:w="869" w:type="dxa"/>
            <w:tcBorders>
              <w:top w:val="single" w:sz="4" w:space="0" w:color="000000"/>
              <w:lef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Results 2023</w:t>
            </w:r>
          </w:p>
        </w:tc>
        <w:tc>
          <w:tcPr>
            <w:tcW w:w="974" w:type="dxa"/>
            <w:tcBorders>
              <w:top w:val="single" w:sz="4" w:space="0" w:color="000000"/>
              <w:lef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Plan completion rate</w:t>
            </w:r>
          </w:p>
        </w:tc>
        <w:tc>
          <w:tcPr>
            <w:tcW w:w="777" w:type="dxa"/>
            <w:tcBorders>
              <w:top w:val="single" w:sz="4" w:space="0" w:color="000000"/>
              <w:lef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Results 2022</w:t>
            </w:r>
          </w:p>
        </w:tc>
        <w:tc>
          <w:tcPr>
            <w:tcW w:w="1652" w:type="dxa"/>
            <w:tcBorders>
              <w:top w:val="single" w:sz="4" w:space="0" w:color="000000"/>
              <w:lef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Growth 2023/2022 (%)</w:t>
            </w:r>
          </w:p>
        </w:tc>
        <w:tc>
          <w:tcPr>
            <w:tcW w:w="141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Growth 2023/2022</w:t>
            </w:r>
          </w:p>
        </w:tc>
      </w:tr>
      <w:tr w:rsidR="00FC4075">
        <w:trPr>
          <w:trHeight w:val="312"/>
        </w:trPr>
        <w:tc>
          <w:tcPr>
            <w:tcW w:w="365"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1</w:t>
            </w:r>
          </w:p>
        </w:tc>
        <w:tc>
          <w:tcPr>
            <w:tcW w:w="1356"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Revenue</w:t>
            </w:r>
          </w:p>
        </w:tc>
        <w:tc>
          <w:tcPr>
            <w:tcW w:w="496"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Billion VND</w:t>
            </w:r>
          </w:p>
        </w:tc>
        <w:tc>
          <w:tcPr>
            <w:tcW w:w="1118"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5,875</w:t>
            </w:r>
          </w:p>
        </w:tc>
        <w:tc>
          <w:tcPr>
            <w:tcW w:w="869"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5,084</w:t>
            </w:r>
          </w:p>
        </w:tc>
        <w:tc>
          <w:tcPr>
            <w:tcW w:w="974"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87%</w:t>
            </w:r>
          </w:p>
        </w:tc>
        <w:tc>
          <w:tcPr>
            <w:tcW w:w="777"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5,615</w:t>
            </w:r>
          </w:p>
        </w:tc>
        <w:tc>
          <w:tcPr>
            <w:tcW w:w="1652"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91%</w:t>
            </w:r>
          </w:p>
        </w:tc>
        <w:tc>
          <w:tcPr>
            <w:tcW w:w="141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(531)</w:t>
            </w:r>
          </w:p>
        </w:tc>
      </w:tr>
      <w:tr w:rsidR="00FC4075">
        <w:trPr>
          <w:trHeight w:val="317"/>
        </w:trPr>
        <w:tc>
          <w:tcPr>
            <w:tcW w:w="365"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2</w:t>
            </w:r>
          </w:p>
        </w:tc>
        <w:tc>
          <w:tcPr>
            <w:tcW w:w="1356"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Selling output</w:t>
            </w:r>
          </w:p>
        </w:tc>
        <w:tc>
          <w:tcPr>
            <w:tcW w:w="496"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Tons</w:t>
            </w:r>
          </w:p>
        </w:tc>
        <w:tc>
          <w:tcPr>
            <w:tcW w:w="1118"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106,000</w:t>
            </w:r>
          </w:p>
        </w:tc>
        <w:tc>
          <w:tcPr>
            <w:tcW w:w="869"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98,582</w:t>
            </w:r>
          </w:p>
        </w:tc>
        <w:tc>
          <w:tcPr>
            <w:tcW w:w="974"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93%</w:t>
            </w:r>
          </w:p>
        </w:tc>
        <w:tc>
          <w:tcPr>
            <w:tcW w:w="777"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101,058</w:t>
            </w:r>
          </w:p>
        </w:tc>
        <w:tc>
          <w:tcPr>
            <w:tcW w:w="1652" w:type="dxa"/>
            <w:tcBorders>
              <w:top w:val="single" w:sz="4" w:space="0" w:color="000000"/>
              <w:lef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98%</w:t>
            </w:r>
          </w:p>
        </w:tc>
        <w:tc>
          <w:tcPr>
            <w:tcW w:w="141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(2,476)</w:t>
            </w:r>
          </w:p>
        </w:tc>
      </w:tr>
      <w:tr w:rsidR="00FC4075">
        <w:trPr>
          <w:trHeight w:val="331"/>
        </w:trPr>
        <w:tc>
          <w:tcPr>
            <w:tcW w:w="36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3</w:t>
            </w:r>
          </w:p>
        </w:tc>
        <w:tc>
          <w:tcPr>
            <w:tcW w:w="135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Profit before tax</w:t>
            </w:r>
          </w:p>
        </w:tc>
        <w:tc>
          <w:tcPr>
            <w:tcW w:w="49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Billion VND</w:t>
            </w:r>
          </w:p>
        </w:tc>
        <w:tc>
          <w:tcPr>
            <w:tcW w:w="1118"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535</w:t>
            </w:r>
          </w:p>
        </w:tc>
        <w:tc>
          <w:tcPr>
            <w:tcW w:w="86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641</w:t>
            </w:r>
          </w:p>
        </w:tc>
        <w:tc>
          <w:tcPr>
            <w:tcW w:w="97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120%</w:t>
            </w:r>
          </w:p>
        </w:tc>
        <w:tc>
          <w:tcPr>
            <w:tcW w:w="777"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532</w:t>
            </w:r>
          </w:p>
        </w:tc>
        <w:tc>
          <w:tcPr>
            <w:tcW w:w="165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120%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rsidR="00FC4075" w:rsidRDefault="00272491" w:rsidP="00272491">
            <w:pPr>
              <w:pBdr>
                <w:top w:val="nil"/>
                <w:left w:val="nil"/>
                <w:bottom w:val="nil"/>
                <w:right w:val="nil"/>
                <w:between w:val="nil"/>
              </w:pBdr>
              <w:tabs>
                <w:tab w:val="left" w:pos="432"/>
              </w:tabs>
              <w:jc w:val="both"/>
              <w:rPr>
                <w:rFonts w:ascii="Arial" w:eastAsia="Arial" w:hAnsi="Arial" w:cs="Arial"/>
                <w:sz w:val="20"/>
                <w:szCs w:val="20"/>
              </w:rPr>
            </w:pPr>
            <w:r>
              <w:rPr>
                <w:rFonts w:ascii="Arial" w:hAnsi="Arial"/>
                <w:sz w:val="20"/>
              </w:rPr>
              <w:t>109</w:t>
            </w:r>
          </w:p>
        </w:tc>
      </w:tr>
    </w:tbl>
    <w:p w:rsidR="00FC4075" w:rsidRDefault="00272491" w:rsidP="00272491">
      <w:pPr>
        <w:numPr>
          <w:ilvl w:val="0"/>
          <w:numId w:val="7"/>
        </w:numPr>
        <w:pBdr>
          <w:top w:val="nil"/>
          <w:left w:val="nil"/>
          <w:bottom w:val="nil"/>
          <w:right w:val="nil"/>
          <w:between w:val="nil"/>
        </w:pBdr>
        <w:tabs>
          <w:tab w:val="left" w:pos="432"/>
          <w:tab w:val="left" w:pos="2173"/>
        </w:tabs>
        <w:spacing w:after="120" w:line="360" w:lineRule="auto"/>
        <w:ind w:left="0" w:firstLine="0"/>
        <w:jc w:val="both"/>
        <w:rPr>
          <w:rFonts w:ascii="Arial" w:eastAsia="Arial" w:hAnsi="Arial" w:cs="Arial"/>
          <w:color w:val="010000"/>
          <w:sz w:val="20"/>
          <w:szCs w:val="20"/>
        </w:rPr>
      </w:pPr>
      <w:r>
        <w:rPr>
          <w:rFonts w:ascii="Arial" w:hAnsi="Arial"/>
          <w:color w:val="010000"/>
          <w:sz w:val="20"/>
        </w:rPr>
        <w:t>The Audited Financial Statements 2023.</w:t>
      </w:r>
    </w:p>
    <w:p w:rsidR="00FC4075" w:rsidRDefault="00272491" w:rsidP="0027249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profit distribution plan for 2023 as follows:</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0"/>
        <w:tblW w:w="9017" w:type="dxa"/>
        <w:tblLayout w:type="fixed"/>
        <w:tblLook w:val="0000" w:firstRow="0" w:lastRow="0" w:firstColumn="0" w:lastColumn="0" w:noHBand="0" w:noVBand="0"/>
      </w:tblPr>
      <w:tblGrid>
        <w:gridCol w:w="528"/>
        <w:gridCol w:w="6738"/>
        <w:gridCol w:w="1751"/>
      </w:tblGrid>
      <w:tr w:rsidR="00FC4075">
        <w:tc>
          <w:tcPr>
            <w:tcW w:w="52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673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Items</w:t>
            </w:r>
          </w:p>
        </w:tc>
        <w:tc>
          <w:tcPr>
            <w:tcW w:w="17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w:t>
            </w:r>
          </w:p>
        </w:tc>
      </w:tr>
      <w:tr w:rsidR="00FC4075">
        <w:tc>
          <w:tcPr>
            <w:tcW w:w="52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673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in 2023:</w:t>
            </w:r>
          </w:p>
        </w:tc>
        <w:tc>
          <w:tcPr>
            <w:tcW w:w="17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552,092,547,700</w:t>
            </w:r>
          </w:p>
        </w:tc>
      </w:tr>
      <w:tr w:rsidR="00FC4075">
        <w:tc>
          <w:tcPr>
            <w:tcW w:w="528" w:type="dxa"/>
            <w:vMerge w:val="restart"/>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673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of cash dividends in 2023 to shareholders (25% of Charter capital):</w:t>
            </w:r>
          </w:p>
        </w:tc>
        <w:tc>
          <w:tcPr>
            <w:tcW w:w="17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323,938,335,000</w:t>
            </w:r>
          </w:p>
        </w:tc>
      </w:tr>
      <w:tr w:rsidR="00FC4075">
        <w:tc>
          <w:tcPr>
            <w:tcW w:w="528" w:type="dxa"/>
            <w:vMerge/>
            <w:tcBorders>
              <w:top w:val="single" w:sz="4" w:space="0" w:color="000000"/>
              <w:left w:val="single" w:sz="4" w:space="0" w:color="000000"/>
            </w:tcBorders>
            <w:shd w:val="clear" w:color="auto" w:fill="auto"/>
            <w:tcMar>
              <w:top w:w="0" w:type="dxa"/>
              <w:bottom w:w="0" w:type="dxa"/>
            </w:tcMar>
            <w:vAlign w:val="center"/>
          </w:tcPr>
          <w:p w:rsidR="00FC4075" w:rsidRDefault="00FC4075" w:rsidP="00272491">
            <w:pPr>
              <w:pBdr>
                <w:top w:val="nil"/>
                <w:left w:val="nil"/>
                <w:bottom w:val="nil"/>
                <w:right w:val="nil"/>
                <w:between w:val="nil"/>
              </w:pBdr>
              <w:spacing w:line="276" w:lineRule="auto"/>
              <w:jc w:val="both"/>
              <w:rPr>
                <w:rFonts w:ascii="Arial" w:eastAsia="Arial" w:hAnsi="Arial" w:cs="Arial"/>
                <w:color w:val="010000"/>
                <w:sz w:val="20"/>
                <w:szCs w:val="20"/>
              </w:rPr>
            </w:pPr>
          </w:p>
        </w:tc>
        <w:tc>
          <w:tcPr>
            <w:tcW w:w="673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First payment in 2023 equals 15% of charter capital (paid on December 20, 2023)</w:t>
            </w:r>
          </w:p>
        </w:tc>
        <w:tc>
          <w:tcPr>
            <w:tcW w:w="17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194,363,001,000</w:t>
            </w:r>
          </w:p>
        </w:tc>
      </w:tr>
      <w:tr w:rsidR="00FC4075">
        <w:tc>
          <w:tcPr>
            <w:tcW w:w="528" w:type="dxa"/>
            <w:vMerge/>
            <w:tcBorders>
              <w:top w:val="single" w:sz="4" w:space="0" w:color="000000"/>
              <w:left w:val="single" w:sz="4" w:space="0" w:color="000000"/>
            </w:tcBorders>
            <w:shd w:val="clear" w:color="auto" w:fill="auto"/>
            <w:tcMar>
              <w:top w:w="0" w:type="dxa"/>
              <w:bottom w:w="0" w:type="dxa"/>
            </w:tcMar>
            <w:vAlign w:val="center"/>
          </w:tcPr>
          <w:p w:rsidR="00FC4075" w:rsidRDefault="00FC4075" w:rsidP="00272491">
            <w:pPr>
              <w:pBdr>
                <w:top w:val="nil"/>
                <w:left w:val="nil"/>
                <w:bottom w:val="nil"/>
                <w:right w:val="nil"/>
                <w:between w:val="nil"/>
              </w:pBdr>
              <w:spacing w:line="276" w:lineRule="auto"/>
              <w:jc w:val="both"/>
              <w:rPr>
                <w:rFonts w:ascii="Arial" w:eastAsia="Arial" w:hAnsi="Arial" w:cs="Arial"/>
                <w:color w:val="010000"/>
                <w:sz w:val="20"/>
                <w:szCs w:val="20"/>
              </w:rPr>
            </w:pPr>
          </w:p>
        </w:tc>
        <w:tc>
          <w:tcPr>
            <w:tcW w:w="673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second payment in 2023 is equal to 10% of the Charter capital</w:t>
            </w:r>
          </w:p>
        </w:tc>
        <w:tc>
          <w:tcPr>
            <w:tcW w:w="17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129,575,334,000</w:t>
            </w:r>
          </w:p>
        </w:tc>
      </w:tr>
      <w:tr w:rsidR="00FC4075">
        <w:tc>
          <w:tcPr>
            <w:tcW w:w="52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673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of dividends by shares in 2023 to shareholders (10% of Charter capital):</w:t>
            </w:r>
          </w:p>
        </w:tc>
        <w:tc>
          <w:tcPr>
            <w:tcW w:w="17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129,575,334,000</w:t>
            </w:r>
          </w:p>
        </w:tc>
      </w:tr>
      <w:tr w:rsidR="00FC4075">
        <w:tc>
          <w:tcPr>
            <w:tcW w:w="52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6738"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 (10% of profit after tax):</w:t>
            </w:r>
          </w:p>
        </w:tc>
        <w:tc>
          <w:tcPr>
            <w:tcW w:w="17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55,209,254,770</w:t>
            </w:r>
          </w:p>
        </w:tc>
      </w:tr>
      <w:tr w:rsidR="00FC4075">
        <w:tc>
          <w:tcPr>
            <w:tcW w:w="5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67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Development and Investment Fund (5 = 1 - 2 - 3 - 4):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43,369,623,930</w:t>
            </w:r>
          </w:p>
        </w:tc>
      </w:tr>
    </w:tbl>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the Production and Business Plan 2024 (including Central Tien Phong Plastic Company Limited - Subsidiary; excluding affiliated companies and joint ventures), including main targets:</w:t>
      </w:r>
    </w:p>
    <w:p w:rsidR="00FC4075" w:rsidRDefault="00272491" w:rsidP="0027249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Product sales revenue: VND 5,400 billion </w:t>
      </w:r>
    </w:p>
    <w:p w:rsidR="00FC4075" w:rsidRDefault="00272491" w:rsidP="0027249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Product consumption outp</w:t>
      </w:r>
      <w:r>
        <w:rPr>
          <w:rFonts w:ascii="Arial" w:hAnsi="Arial"/>
          <w:color w:val="010000"/>
          <w:sz w:val="20"/>
        </w:rPr>
        <w:t>ut: 104,500 tons</w:t>
      </w:r>
    </w:p>
    <w:p w:rsidR="00FC4075" w:rsidRDefault="00272491" w:rsidP="0027249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VND 555 billion.</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Regular Investment Plan 2024</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
        <w:gridCol w:w="5160"/>
        <w:gridCol w:w="3113"/>
      </w:tblGrid>
      <w:tr w:rsidR="00FC4075">
        <w:tc>
          <w:tcPr>
            <w:tcW w:w="744"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5160"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Regular investment plan</w:t>
            </w:r>
          </w:p>
        </w:tc>
        <w:tc>
          <w:tcPr>
            <w:tcW w:w="3113"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2024</w:t>
            </w:r>
          </w:p>
        </w:tc>
      </w:tr>
      <w:tr w:rsidR="00FC4075">
        <w:tc>
          <w:tcPr>
            <w:tcW w:w="744"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5160"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Invest in new machinery and equipment</w:t>
            </w:r>
          </w:p>
        </w:tc>
        <w:tc>
          <w:tcPr>
            <w:tcW w:w="3113"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164,442,494,865</w:t>
            </w:r>
          </w:p>
        </w:tc>
      </w:tr>
      <w:tr w:rsidR="00FC4075">
        <w:tc>
          <w:tcPr>
            <w:tcW w:w="744"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5160"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Capital construction investment</w:t>
            </w:r>
          </w:p>
        </w:tc>
        <w:tc>
          <w:tcPr>
            <w:tcW w:w="3113"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21,490,787,000</w:t>
            </w:r>
          </w:p>
        </w:tc>
      </w:tr>
      <w:tr w:rsidR="00FC4075">
        <w:tc>
          <w:tcPr>
            <w:tcW w:w="744"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5160"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provisions</w:t>
            </w:r>
          </w:p>
        </w:tc>
        <w:tc>
          <w:tcPr>
            <w:tcW w:w="3113"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5,000,000,000</w:t>
            </w:r>
          </w:p>
        </w:tc>
      </w:tr>
      <w:tr w:rsidR="00FC4075">
        <w:tc>
          <w:tcPr>
            <w:tcW w:w="5904" w:type="dxa"/>
            <w:gridSpan w:val="2"/>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3113" w:type="dxa"/>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190,933,281,865</w:t>
            </w:r>
          </w:p>
        </w:tc>
      </w:tr>
    </w:tbl>
    <w:p w:rsidR="00FC4075" w:rsidRDefault="00272491" w:rsidP="0027249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Expected cash dividends in 2024:</w:t>
      </w:r>
      <w:r>
        <w:rPr>
          <w:rFonts w:ascii="Arial" w:hAnsi="Arial"/>
          <w:color w:val="010000"/>
          <w:sz w:val="20"/>
        </w:rPr>
        <w:t xml:space="preserve"> 20% of charter capital.</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bonus for the Board of Directors in 2023:</w:t>
      </w:r>
      <w:r>
        <w:rPr>
          <w:rFonts w:ascii="Arial" w:hAnsi="Arial"/>
          <w:color w:val="010000"/>
          <w:sz w:val="20"/>
        </w:rPr>
        <w:t xml:space="preserve"> </w:t>
      </w:r>
      <w:r>
        <w:rPr>
          <w:rFonts w:ascii="Arial" w:hAnsi="Arial"/>
          <w:color w:val="010000"/>
          <w:sz w:val="20"/>
        </w:rPr>
        <w:t>VND 1,000,000,000 because realized profit in 2023 exceeds 20% of the plan.</w:t>
      </w:r>
    </w:p>
    <w:p w:rsidR="00FC4075" w:rsidRDefault="00272491" w:rsidP="0027249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Remuneration for the Board of Directors in 2024</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 xml:space="preserve">The remuneration for the Board of Directors in 2024 is: VND 5,000,000,000 </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Recommend to reward the Board of Di</w:t>
      </w:r>
      <w:r>
        <w:rPr>
          <w:rFonts w:ascii="Arial" w:hAnsi="Arial"/>
          <w:color w:val="010000"/>
          <w:sz w:val="20"/>
        </w:rPr>
        <w:t>rectors with 20% of the amount exceeding the profit plan in 2024 but the maximum amount shall not exceed VND 2,000,000,000 in case revenue and profit both exceed the set plan.</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authorization for the Board of Directors to select 01 of the </w:t>
      </w:r>
      <w:r>
        <w:rPr>
          <w:rFonts w:ascii="Arial" w:hAnsi="Arial"/>
          <w:color w:val="010000"/>
          <w:sz w:val="20"/>
        </w:rPr>
        <w:t>following 04 audit companies to perform the audit for the fiscal year 2024</w:t>
      </w:r>
    </w:p>
    <w:p w:rsidR="00FC4075" w:rsidRDefault="00272491" w:rsidP="00272491">
      <w:pPr>
        <w:numPr>
          <w:ilvl w:val="0"/>
          <w:numId w:val="8"/>
        </w:numPr>
        <w:pBdr>
          <w:top w:val="nil"/>
          <w:left w:val="nil"/>
          <w:bottom w:val="nil"/>
          <w:right w:val="nil"/>
          <w:between w:val="nil"/>
        </w:pBdr>
        <w:tabs>
          <w:tab w:val="left" w:pos="432"/>
          <w:tab w:val="left" w:pos="2488"/>
        </w:tabs>
        <w:spacing w:after="120" w:line="360" w:lineRule="auto"/>
        <w:jc w:val="both"/>
        <w:rPr>
          <w:rFonts w:ascii="Arial" w:eastAsia="Arial" w:hAnsi="Arial" w:cs="Arial"/>
          <w:color w:val="010000"/>
          <w:sz w:val="20"/>
          <w:szCs w:val="20"/>
        </w:rPr>
      </w:pPr>
      <w:r>
        <w:rPr>
          <w:rFonts w:ascii="Arial" w:hAnsi="Arial"/>
          <w:color w:val="010000"/>
          <w:sz w:val="20"/>
        </w:rPr>
        <w:t>Deloitte Vietnam Company Limited</w:t>
      </w:r>
    </w:p>
    <w:p w:rsidR="00FC4075" w:rsidRDefault="00272491" w:rsidP="00272491">
      <w:pPr>
        <w:numPr>
          <w:ilvl w:val="0"/>
          <w:numId w:val="8"/>
        </w:numPr>
        <w:pBdr>
          <w:top w:val="nil"/>
          <w:left w:val="nil"/>
          <w:bottom w:val="nil"/>
          <w:right w:val="nil"/>
          <w:between w:val="nil"/>
        </w:pBdr>
        <w:tabs>
          <w:tab w:val="left" w:pos="432"/>
          <w:tab w:val="left" w:pos="2496"/>
        </w:tabs>
        <w:spacing w:after="120" w:line="360" w:lineRule="auto"/>
        <w:jc w:val="both"/>
        <w:rPr>
          <w:rFonts w:ascii="Arial" w:eastAsia="Arial" w:hAnsi="Arial" w:cs="Arial"/>
          <w:color w:val="010000"/>
          <w:sz w:val="20"/>
          <w:szCs w:val="20"/>
        </w:rPr>
      </w:pPr>
      <w:r>
        <w:rPr>
          <w:rFonts w:ascii="Arial" w:hAnsi="Arial"/>
          <w:color w:val="010000"/>
          <w:sz w:val="20"/>
        </w:rPr>
        <w:t>Ernst &amp; Young Vietnam Limited</w:t>
      </w:r>
    </w:p>
    <w:p w:rsidR="00FC4075" w:rsidRDefault="00272491" w:rsidP="00272491">
      <w:pPr>
        <w:numPr>
          <w:ilvl w:val="0"/>
          <w:numId w:val="8"/>
        </w:numPr>
        <w:pBdr>
          <w:top w:val="nil"/>
          <w:left w:val="nil"/>
          <w:bottom w:val="nil"/>
          <w:right w:val="nil"/>
          <w:between w:val="nil"/>
        </w:pBdr>
        <w:tabs>
          <w:tab w:val="left" w:pos="432"/>
          <w:tab w:val="left" w:pos="2496"/>
        </w:tabs>
        <w:spacing w:after="120" w:line="360" w:lineRule="auto"/>
        <w:jc w:val="both"/>
        <w:rPr>
          <w:rFonts w:ascii="Arial" w:eastAsia="Arial" w:hAnsi="Arial" w:cs="Arial"/>
          <w:color w:val="010000"/>
          <w:sz w:val="20"/>
          <w:szCs w:val="20"/>
        </w:rPr>
      </w:pPr>
      <w:r>
        <w:rPr>
          <w:rFonts w:ascii="Arial" w:hAnsi="Arial"/>
          <w:color w:val="010000"/>
          <w:sz w:val="20"/>
        </w:rPr>
        <w:t>PwC (Vietnam) Limited</w:t>
      </w:r>
    </w:p>
    <w:p w:rsidR="00FC4075" w:rsidRDefault="00272491" w:rsidP="00272491">
      <w:pPr>
        <w:numPr>
          <w:ilvl w:val="0"/>
          <w:numId w:val="8"/>
        </w:numPr>
        <w:pBdr>
          <w:top w:val="nil"/>
          <w:left w:val="nil"/>
          <w:bottom w:val="nil"/>
          <w:right w:val="nil"/>
          <w:between w:val="nil"/>
        </w:pBdr>
        <w:tabs>
          <w:tab w:val="left" w:pos="432"/>
          <w:tab w:val="left" w:pos="2496"/>
        </w:tabs>
        <w:spacing w:after="120" w:line="360" w:lineRule="auto"/>
        <w:jc w:val="both"/>
        <w:rPr>
          <w:rFonts w:ascii="Arial" w:eastAsia="Arial" w:hAnsi="Arial" w:cs="Arial"/>
          <w:color w:val="010000"/>
          <w:sz w:val="20"/>
          <w:szCs w:val="20"/>
        </w:rPr>
      </w:pPr>
      <w:r>
        <w:rPr>
          <w:rFonts w:ascii="Arial" w:hAnsi="Arial"/>
          <w:color w:val="010000"/>
          <w:sz w:val="20"/>
        </w:rPr>
        <w:t>KPMG Limited.</w:t>
      </w:r>
    </w:p>
    <w:p w:rsidR="00FC4075" w:rsidRDefault="00272491" w:rsidP="0027249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w:t>
      </w:r>
      <w:r>
        <w:rPr>
          <w:rFonts w:ascii="Arial" w:hAnsi="Arial"/>
          <w:color w:val="010000"/>
          <w:sz w:val="20"/>
        </w:rPr>
        <w:t>Approve amendments and supplements to the Company's Charter of organization and operations</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Amend and supplement the Company's Charter to suit the actual situation of the Company's production and business activities;</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Detailed content of regulations amending and supplementing the Company Charter is presented in the Appendix attached to Proposal No. 09. The provisions of the Company's Charter as amended and supplemented will take effect from the date approved by the Gene</w:t>
      </w:r>
      <w:r>
        <w:rPr>
          <w:rFonts w:ascii="Arial" w:hAnsi="Arial"/>
          <w:color w:val="010000"/>
          <w:sz w:val="20"/>
        </w:rPr>
        <w:t>ral Meeting of Shareholders.</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amendments and supplements to internal regulations on corporate governance</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 xml:space="preserve">Amend and supplement the Company's internal governance regulations to suit the actual situation </w:t>
      </w:r>
      <w:r>
        <w:rPr>
          <w:rFonts w:ascii="Arial" w:hAnsi="Arial"/>
          <w:color w:val="010000"/>
          <w:sz w:val="20"/>
        </w:rPr>
        <w:lastRenderedPageBreak/>
        <w:t>of the Company's production and busi</w:t>
      </w:r>
      <w:r>
        <w:rPr>
          <w:rFonts w:ascii="Arial" w:hAnsi="Arial"/>
          <w:color w:val="010000"/>
          <w:sz w:val="20"/>
        </w:rPr>
        <w:t>ness activities;</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Detailed content of regulations amending and supplementing the Internal Regulations on Company governance is presented in the Appendix attached to Proposal No. 10. Internal regulations on corporate governance (updated with amended and supp</w:t>
      </w:r>
      <w:r>
        <w:rPr>
          <w:rFonts w:ascii="Arial" w:hAnsi="Arial"/>
          <w:color w:val="010000"/>
          <w:sz w:val="20"/>
        </w:rPr>
        <w:t>lemented contents) will be issued by the Board of Directors and take effect from the date approved by the General Meeting of Shareholders.</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11: </w:t>
      </w:r>
      <w:r>
        <w:rPr>
          <w:rFonts w:ascii="Arial" w:hAnsi="Arial"/>
          <w:color w:val="010000"/>
          <w:sz w:val="20"/>
        </w:rPr>
        <w:t>Approve amendments and supplements to the Board of Directors' operating regulations</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 xml:space="preserve">Amend and supplement </w:t>
      </w:r>
      <w:r>
        <w:rPr>
          <w:rFonts w:ascii="Arial" w:hAnsi="Arial"/>
          <w:color w:val="010000"/>
          <w:sz w:val="20"/>
        </w:rPr>
        <w:t>the operating regulations of the Board of Directors to suit the actual situation of production and business activities of the Company;</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 xml:space="preserve">Detailed content of regulations amending and supplementing the Board of Directors' Operating Regulations is presented in </w:t>
      </w:r>
      <w:r>
        <w:rPr>
          <w:rFonts w:ascii="Arial" w:hAnsi="Arial"/>
          <w:color w:val="010000"/>
          <w:sz w:val="20"/>
        </w:rPr>
        <w:t>the Appendix attached to Proposal No. 11. The operating regulations of the Board of Directors (updated with amended and supplemented contents) will be issued by the Board of Directors and take effect from the date approved by the General Meeting of Shareho</w:t>
      </w:r>
      <w:r>
        <w:rPr>
          <w:rFonts w:ascii="Arial" w:hAnsi="Arial"/>
          <w:color w:val="010000"/>
          <w:sz w:val="20"/>
        </w:rPr>
        <w:t>lders.</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12: </w:t>
      </w:r>
      <w:r>
        <w:rPr>
          <w:rFonts w:ascii="Arial" w:hAnsi="Arial"/>
          <w:color w:val="010000"/>
          <w:sz w:val="20"/>
        </w:rPr>
        <w:t>Approve supplementing a number of business lines</w:t>
      </w:r>
    </w:p>
    <w:p w:rsidR="00FC4075" w:rsidRDefault="00272491" w:rsidP="00272491">
      <w:pPr>
        <w:numPr>
          <w:ilvl w:val="0"/>
          <w:numId w:val="6"/>
        </w:numPr>
        <w:pBdr>
          <w:top w:val="nil"/>
          <w:left w:val="nil"/>
          <w:bottom w:val="nil"/>
          <w:right w:val="nil"/>
          <w:between w:val="nil"/>
        </w:pBdr>
        <w:tabs>
          <w:tab w:val="left" w:pos="432"/>
          <w:tab w:val="left" w:pos="2013"/>
        </w:tabs>
        <w:spacing w:after="120" w:line="360" w:lineRule="auto"/>
        <w:jc w:val="both"/>
        <w:rPr>
          <w:rFonts w:ascii="Arial" w:eastAsia="Arial" w:hAnsi="Arial" w:cs="Arial"/>
          <w:color w:val="010000"/>
          <w:sz w:val="20"/>
          <w:szCs w:val="20"/>
        </w:rPr>
      </w:pPr>
      <w:r>
        <w:rPr>
          <w:rFonts w:ascii="Arial" w:hAnsi="Arial"/>
          <w:color w:val="010000"/>
          <w:sz w:val="20"/>
        </w:rPr>
        <w:t>Supplemented business lines of the Company are as follows:</w:t>
      </w:r>
    </w:p>
    <w:tbl>
      <w:tblPr>
        <w:tblStyle w:val="a2"/>
        <w:tblW w:w="9017" w:type="dxa"/>
        <w:tblLayout w:type="fixed"/>
        <w:tblLook w:val="0000" w:firstRow="0" w:lastRow="0" w:firstColumn="0" w:lastColumn="0" w:noHBand="0" w:noVBand="0"/>
      </w:tblPr>
      <w:tblGrid>
        <w:gridCol w:w="1305"/>
        <w:gridCol w:w="4408"/>
        <w:gridCol w:w="3304"/>
      </w:tblGrid>
      <w:tr w:rsidR="00FC4075">
        <w:tc>
          <w:tcPr>
            <w:tcW w:w="130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Business line code</w:t>
            </w:r>
          </w:p>
        </w:tc>
        <w:tc>
          <w:tcPr>
            <w:tcW w:w="440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Name of business lines supplemented</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Notes</w:t>
            </w:r>
          </w:p>
        </w:tc>
      </w:tr>
      <w:tr w:rsidR="00FC4075">
        <w:tc>
          <w:tcPr>
            <w:tcW w:w="130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7490</w:t>
            </w:r>
          </w:p>
        </w:tc>
        <w:tc>
          <w:tcPr>
            <w:tcW w:w="440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Technical testing and analysis</w:t>
            </w:r>
            <w:r>
              <w:rPr>
                <w:rFonts w:ascii="Arial" w:hAnsi="Arial"/>
                <w:color w:val="010000"/>
                <w:sz w:val="20"/>
              </w:rPr>
              <w:br/>
              <w:t xml:space="preserve">Details: </w:t>
            </w:r>
            <w:r>
              <w:rPr>
                <w:rFonts w:ascii="Arial" w:hAnsi="Arial"/>
                <w:color w:val="010000"/>
                <w:sz w:val="20"/>
              </w:rPr>
              <w:t>Testing product and goods quality</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Supplement this business line to carry out product and goods quality testing activities</w:t>
            </w:r>
          </w:p>
        </w:tc>
      </w:tr>
      <w:tr w:rsidR="00FC4075">
        <w:tc>
          <w:tcPr>
            <w:tcW w:w="130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8521</w:t>
            </w:r>
          </w:p>
        </w:tc>
        <w:tc>
          <w:tcPr>
            <w:tcW w:w="440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Primary education</w:t>
            </w:r>
          </w:p>
        </w:tc>
        <w:tc>
          <w:tcPr>
            <w:tcW w:w="330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Supplement this business line to be able to implement the Tien Phong multi-level high school project at No. 2 </w:t>
            </w:r>
            <w:r>
              <w:rPr>
                <w:rFonts w:ascii="Arial" w:hAnsi="Arial"/>
                <w:color w:val="010000"/>
                <w:sz w:val="20"/>
              </w:rPr>
              <w:t>An Da</w:t>
            </w:r>
          </w:p>
        </w:tc>
      </w:tr>
      <w:tr w:rsidR="00FC4075">
        <w:tc>
          <w:tcPr>
            <w:tcW w:w="1305" w:type="dxa"/>
            <w:tcBorders>
              <w:top w:val="single" w:sz="8"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8522</w:t>
            </w:r>
          </w:p>
        </w:tc>
        <w:tc>
          <w:tcPr>
            <w:tcW w:w="4408" w:type="dxa"/>
            <w:tcBorders>
              <w:top w:val="single" w:sz="8" w:space="0" w:color="000000"/>
              <w:left w:val="single" w:sz="4"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Secondary education</w:t>
            </w:r>
          </w:p>
        </w:tc>
        <w:tc>
          <w:tcPr>
            <w:tcW w:w="3304"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FC4075" w:rsidP="00272491">
            <w:pPr>
              <w:pBdr>
                <w:top w:val="nil"/>
                <w:left w:val="nil"/>
                <w:bottom w:val="nil"/>
                <w:right w:val="nil"/>
                <w:between w:val="nil"/>
              </w:pBdr>
              <w:spacing w:line="276" w:lineRule="auto"/>
              <w:jc w:val="both"/>
              <w:rPr>
                <w:rFonts w:ascii="Arial" w:eastAsia="Arial" w:hAnsi="Arial" w:cs="Arial"/>
                <w:color w:val="010000"/>
                <w:sz w:val="20"/>
                <w:szCs w:val="20"/>
              </w:rPr>
            </w:pPr>
          </w:p>
        </w:tc>
      </w:tr>
      <w:tr w:rsidR="00FC4075">
        <w:tc>
          <w:tcPr>
            <w:tcW w:w="1305"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8523</w:t>
            </w:r>
          </w:p>
        </w:tc>
        <w:tc>
          <w:tcPr>
            <w:tcW w:w="4408" w:type="dxa"/>
            <w:tcBorders>
              <w:top w:val="single" w:sz="4" w:space="0" w:color="000000"/>
              <w:left w:val="single" w:sz="4"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High school education</w:t>
            </w:r>
          </w:p>
        </w:tc>
        <w:tc>
          <w:tcPr>
            <w:tcW w:w="3304"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FC4075" w:rsidP="00272491">
            <w:pPr>
              <w:pBdr>
                <w:top w:val="nil"/>
                <w:left w:val="nil"/>
                <w:bottom w:val="nil"/>
                <w:right w:val="nil"/>
                <w:between w:val="nil"/>
              </w:pBdr>
              <w:spacing w:line="276" w:lineRule="auto"/>
              <w:jc w:val="both"/>
              <w:rPr>
                <w:rFonts w:ascii="Arial" w:eastAsia="Arial" w:hAnsi="Arial" w:cs="Arial"/>
                <w:color w:val="010000"/>
                <w:sz w:val="20"/>
                <w:szCs w:val="20"/>
              </w:rPr>
            </w:pPr>
          </w:p>
        </w:tc>
      </w:tr>
      <w:tr w:rsidR="00FC4075">
        <w:tc>
          <w:tcPr>
            <w:tcW w:w="1305"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8531</w:t>
            </w:r>
          </w:p>
        </w:tc>
        <w:tc>
          <w:tcPr>
            <w:tcW w:w="4408" w:type="dxa"/>
            <w:tcBorders>
              <w:top w:val="single" w:sz="4" w:space="0" w:color="000000"/>
              <w:left w:val="single" w:sz="4"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Primary training</w:t>
            </w:r>
          </w:p>
        </w:tc>
        <w:tc>
          <w:tcPr>
            <w:tcW w:w="3304"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FC4075" w:rsidP="00272491">
            <w:pPr>
              <w:pBdr>
                <w:top w:val="nil"/>
                <w:left w:val="nil"/>
                <w:bottom w:val="nil"/>
                <w:right w:val="nil"/>
                <w:between w:val="nil"/>
              </w:pBdr>
              <w:spacing w:line="276" w:lineRule="auto"/>
              <w:jc w:val="both"/>
              <w:rPr>
                <w:rFonts w:ascii="Arial" w:eastAsia="Arial" w:hAnsi="Arial" w:cs="Arial"/>
                <w:color w:val="010000"/>
                <w:sz w:val="20"/>
                <w:szCs w:val="20"/>
              </w:rPr>
            </w:pPr>
          </w:p>
        </w:tc>
      </w:tr>
      <w:tr w:rsidR="00FC4075">
        <w:tc>
          <w:tcPr>
            <w:tcW w:w="1305" w:type="dxa"/>
            <w:tcBorders>
              <w:top w:val="single" w:sz="4" w:space="0" w:color="000000"/>
              <w:left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8532</w:t>
            </w:r>
          </w:p>
        </w:tc>
        <w:tc>
          <w:tcPr>
            <w:tcW w:w="4408" w:type="dxa"/>
            <w:tcBorders>
              <w:top w:val="single" w:sz="4" w:space="0" w:color="000000"/>
              <w:left w:val="single" w:sz="4"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Intermediate training</w:t>
            </w:r>
          </w:p>
        </w:tc>
        <w:tc>
          <w:tcPr>
            <w:tcW w:w="3304"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FC4075" w:rsidP="00272491">
            <w:pPr>
              <w:pBdr>
                <w:top w:val="nil"/>
                <w:left w:val="nil"/>
                <w:bottom w:val="nil"/>
                <w:right w:val="nil"/>
                <w:between w:val="nil"/>
              </w:pBdr>
              <w:spacing w:line="276" w:lineRule="auto"/>
              <w:jc w:val="both"/>
              <w:rPr>
                <w:rFonts w:ascii="Arial" w:eastAsia="Arial" w:hAnsi="Arial" w:cs="Arial"/>
                <w:color w:val="010000"/>
                <w:sz w:val="20"/>
                <w:szCs w:val="20"/>
              </w:rPr>
            </w:pPr>
          </w:p>
        </w:tc>
      </w:tr>
      <w:tr w:rsidR="00FC4075">
        <w:tc>
          <w:tcPr>
            <w:tcW w:w="13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8559</w:t>
            </w:r>
          </w:p>
        </w:tc>
        <w:tc>
          <w:tcPr>
            <w:tcW w:w="4408" w:type="dxa"/>
            <w:tcBorders>
              <w:top w:val="single" w:sz="4" w:space="0" w:color="000000"/>
              <w:left w:val="single" w:sz="4" w:space="0" w:color="000000"/>
              <w:bottom w:val="single" w:sz="4" w:space="0" w:color="000000"/>
              <w:right w:val="single" w:sz="8" w:space="0" w:color="000000"/>
            </w:tcBorders>
            <w:shd w:val="clear" w:color="auto" w:fill="auto"/>
            <w:tcMar>
              <w:top w:w="0" w:type="dxa"/>
              <w:bottom w:w="0" w:type="dxa"/>
            </w:tcMar>
            <w:vAlign w:val="center"/>
          </w:tcPr>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education not classified elsewhere</w:t>
            </w:r>
            <w:r>
              <w:rPr>
                <w:rFonts w:ascii="Arial" w:hAnsi="Arial"/>
                <w:color w:val="010000"/>
                <w:sz w:val="20"/>
              </w:rPr>
              <w:br/>
              <w:t xml:space="preserve">Details: </w:t>
            </w:r>
            <w:r>
              <w:rPr>
                <w:rFonts w:ascii="Arial" w:hAnsi="Arial"/>
                <w:color w:val="010000"/>
                <w:sz w:val="20"/>
              </w:rPr>
              <w:t>Testing, vocational training, foreign language teaching, life skills teaching, aptitude teaching, tutoring services.</w:t>
            </w:r>
          </w:p>
        </w:tc>
        <w:tc>
          <w:tcPr>
            <w:tcW w:w="3304"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FC4075" w:rsidRDefault="00FC4075" w:rsidP="00272491">
            <w:pPr>
              <w:pBdr>
                <w:top w:val="nil"/>
                <w:left w:val="nil"/>
                <w:bottom w:val="nil"/>
                <w:right w:val="nil"/>
                <w:between w:val="nil"/>
              </w:pBdr>
              <w:spacing w:line="276" w:lineRule="auto"/>
              <w:jc w:val="both"/>
              <w:rPr>
                <w:rFonts w:ascii="Arial" w:eastAsia="Arial" w:hAnsi="Arial" w:cs="Arial"/>
                <w:color w:val="010000"/>
                <w:sz w:val="20"/>
                <w:szCs w:val="20"/>
              </w:rPr>
            </w:pPr>
          </w:p>
        </w:tc>
      </w:tr>
    </w:tbl>
    <w:p w:rsidR="00FC4075" w:rsidRDefault="00272491" w:rsidP="00272491">
      <w:pPr>
        <w:numPr>
          <w:ilvl w:val="0"/>
          <w:numId w:val="6"/>
        </w:numPr>
        <w:pBdr>
          <w:top w:val="nil"/>
          <w:left w:val="nil"/>
          <w:bottom w:val="nil"/>
          <w:right w:val="nil"/>
          <w:between w:val="nil"/>
        </w:pBdr>
        <w:tabs>
          <w:tab w:val="left" w:pos="432"/>
          <w:tab w:val="left" w:pos="2006"/>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w:t>
      </w:r>
    </w:p>
    <w:p w:rsidR="00FC4075" w:rsidRDefault="00272491" w:rsidP="0027249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Carry out relevant procedures to complete the registration of changing the Company's business lines in accordance with the provisions of law</w:t>
      </w:r>
    </w:p>
    <w:p w:rsidR="00FC4075" w:rsidRDefault="00272491" w:rsidP="0027249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Amend and supplement the Charter with related contents according to regulations</w:t>
      </w:r>
    </w:p>
    <w:p w:rsidR="00FC4075" w:rsidRDefault="00272491" w:rsidP="0027249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Fulfill the obligation to disclose </w:t>
      </w:r>
      <w:r>
        <w:rPr>
          <w:rFonts w:ascii="Arial" w:hAnsi="Arial"/>
          <w:color w:val="010000"/>
          <w:sz w:val="20"/>
        </w:rPr>
        <w:t>information according to the provisions of law (if any).</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13: Approve that the Company has 02 legal representatives</w:t>
      </w:r>
    </w:p>
    <w:p w:rsidR="00FC4075" w:rsidRDefault="00272491" w:rsidP="00272491">
      <w:pPr>
        <w:numPr>
          <w:ilvl w:val="0"/>
          <w:numId w:val="6"/>
        </w:numPr>
        <w:pBdr>
          <w:top w:val="nil"/>
          <w:left w:val="nil"/>
          <w:bottom w:val="nil"/>
          <w:right w:val="nil"/>
          <w:between w:val="nil"/>
        </w:pBdr>
        <w:tabs>
          <w:tab w:val="left" w:pos="432"/>
          <w:tab w:val="left" w:pos="2012"/>
        </w:tabs>
        <w:spacing w:after="120" w:line="360" w:lineRule="auto"/>
        <w:jc w:val="both"/>
        <w:rPr>
          <w:rFonts w:ascii="Arial" w:eastAsia="Arial" w:hAnsi="Arial" w:cs="Arial"/>
          <w:color w:val="010000"/>
          <w:sz w:val="20"/>
          <w:szCs w:val="20"/>
        </w:rPr>
      </w:pPr>
      <w:r>
        <w:rPr>
          <w:rFonts w:ascii="Arial" w:hAnsi="Arial"/>
          <w:color w:val="010000"/>
          <w:sz w:val="20"/>
        </w:rPr>
        <w:t>The Company has 02 legal representatives: Chair of the Board of Directors and the General Manager of the Company</w:t>
      </w:r>
    </w:p>
    <w:p w:rsidR="00FC4075" w:rsidRDefault="00272491" w:rsidP="00272491">
      <w:pPr>
        <w:numPr>
          <w:ilvl w:val="0"/>
          <w:numId w:val="6"/>
        </w:numPr>
        <w:pBdr>
          <w:top w:val="nil"/>
          <w:left w:val="nil"/>
          <w:bottom w:val="nil"/>
          <w:right w:val="nil"/>
          <w:between w:val="nil"/>
        </w:pBdr>
        <w:tabs>
          <w:tab w:val="left" w:pos="432"/>
          <w:tab w:val="left" w:pos="2012"/>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be responsible for carrying out legal procedures to amend the Charter, business registration license and other legal documents related to changing the number of legal representatives from 01 person to 02 people.</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w:t>
      </w:r>
      <w:r>
        <w:rPr>
          <w:rFonts w:ascii="Arial" w:hAnsi="Arial"/>
          <w:color w:val="010000"/>
          <w:sz w:val="20"/>
        </w:rPr>
        <w:t>14: Approve the Policy for implementing the Multi-level High School Project</w:t>
      </w:r>
    </w:p>
    <w:p w:rsidR="00FC4075" w:rsidRDefault="00272491" w:rsidP="00272491">
      <w:pPr>
        <w:numPr>
          <w:ilvl w:val="0"/>
          <w:numId w:val="6"/>
        </w:numPr>
        <w:pBdr>
          <w:top w:val="nil"/>
          <w:left w:val="nil"/>
          <w:bottom w:val="nil"/>
          <w:right w:val="nil"/>
          <w:between w:val="nil"/>
        </w:pBdr>
        <w:tabs>
          <w:tab w:val="left" w:pos="432"/>
          <w:tab w:val="left" w:pos="2012"/>
        </w:tabs>
        <w:spacing w:after="120" w:line="360" w:lineRule="auto"/>
        <w:jc w:val="both"/>
        <w:rPr>
          <w:rFonts w:ascii="Arial" w:eastAsia="Arial" w:hAnsi="Arial" w:cs="Arial"/>
          <w:color w:val="010000"/>
          <w:sz w:val="20"/>
          <w:szCs w:val="20"/>
        </w:rPr>
      </w:pPr>
      <w:r>
        <w:rPr>
          <w:rFonts w:ascii="Arial" w:hAnsi="Arial"/>
          <w:color w:val="010000"/>
          <w:sz w:val="20"/>
        </w:rPr>
        <w:t>Approve the policy of implementing the Tien Phong multi-level high school project at land lot No. 2 An Da, Ngo Quyen District with an area of 37,445.8m2.</w:t>
      </w:r>
    </w:p>
    <w:p w:rsidR="00FC4075" w:rsidRDefault="00272491" w:rsidP="00272491">
      <w:pPr>
        <w:numPr>
          <w:ilvl w:val="0"/>
          <w:numId w:val="6"/>
        </w:numPr>
        <w:pBdr>
          <w:top w:val="nil"/>
          <w:left w:val="nil"/>
          <w:bottom w:val="nil"/>
          <w:right w:val="nil"/>
          <w:between w:val="nil"/>
        </w:pBdr>
        <w:tabs>
          <w:tab w:val="left" w:pos="432"/>
          <w:tab w:val="left" w:pos="2012"/>
        </w:tabs>
        <w:spacing w:after="120" w:line="360" w:lineRule="auto"/>
        <w:jc w:val="both"/>
        <w:rPr>
          <w:rFonts w:ascii="Arial" w:eastAsia="Arial" w:hAnsi="Arial" w:cs="Arial"/>
          <w:color w:val="010000"/>
          <w:sz w:val="20"/>
          <w:szCs w:val="20"/>
        </w:rPr>
      </w:pPr>
      <w:r>
        <w:rPr>
          <w:rFonts w:ascii="Arial" w:hAnsi="Arial"/>
          <w:color w:val="010000"/>
          <w:sz w:val="20"/>
        </w:rPr>
        <w:t>Authorize the Board of Dir</w:t>
      </w:r>
      <w:r>
        <w:rPr>
          <w:rFonts w:ascii="Arial" w:hAnsi="Arial"/>
          <w:color w:val="010000"/>
          <w:sz w:val="20"/>
        </w:rPr>
        <w:t>ectors to develop projects and implementation plans and collect shareholders' opinions before implementation.</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15: Approve the plan to issue shares to pay dividends in 2023</w:t>
      </w:r>
    </w:p>
    <w:p w:rsidR="00FC4075" w:rsidRDefault="00272491" w:rsidP="00272491">
      <w:pPr>
        <w:numPr>
          <w:ilvl w:val="0"/>
          <w:numId w:val="6"/>
        </w:numPr>
        <w:pBdr>
          <w:top w:val="nil"/>
          <w:left w:val="nil"/>
          <w:bottom w:val="nil"/>
          <w:right w:val="nil"/>
          <w:between w:val="nil"/>
        </w:pBdr>
        <w:tabs>
          <w:tab w:val="left" w:pos="432"/>
          <w:tab w:val="left" w:pos="2006"/>
        </w:tabs>
        <w:spacing w:after="120" w:line="360" w:lineRule="auto"/>
        <w:jc w:val="both"/>
        <w:rPr>
          <w:rFonts w:ascii="Arial" w:eastAsia="Arial" w:hAnsi="Arial" w:cs="Arial"/>
          <w:color w:val="010000"/>
          <w:sz w:val="20"/>
          <w:szCs w:val="20"/>
        </w:rPr>
      </w:pPr>
      <w:r>
        <w:rPr>
          <w:rFonts w:ascii="Arial" w:hAnsi="Arial"/>
          <w:color w:val="010000"/>
          <w:sz w:val="20"/>
        </w:rPr>
        <w:t>Number of outstanding shares: 129,575,334 shares</w:t>
      </w:r>
    </w:p>
    <w:p w:rsidR="00FC4075" w:rsidRDefault="00272491" w:rsidP="00272491">
      <w:pPr>
        <w:numPr>
          <w:ilvl w:val="0"/>
          <w:numId w:val="6"/>
        </w:numPr>
        <w:pBdr>
          <w:top w:val="nil"/>
          <w:left w:val="nil"/>
          <w:bottom w:val="nil"/>
          <w:right w:val="nil"/>
          <w:between w:val="nil"/>
        </w:pBdr>
        <w:tabs>
          <w:tab w:val="left" w:pos="432"/>
          <w:tab w:val="left" w:pos="2006"/>
        </w:tabs>
        <w:spacing w:after="120" w:line="360" w:lineRule="auto"/>
        <w:jc w:val="both"/>
        <w:rPr>
          <w:rFonts w:ascii="Arial" w:eastAsia="Arial" w:hAnsi="Arial" w:cs="Arial"/>
          <w:color w:val="010000"/>
          <w:sz w:val="20"/>
          <w:szCs w:val="20"/>
        </w:rPr>
      </w:pPr>
      <w:r>
        <w:rPr>
          <w:rFonts w:ascii="Arial" w:hAnsi="Arial"/>
          <w:color w:val="010000"/>
          <w:sz w:val="20"/>
        </w:rPr>
        <w:t>Number of shares expected to be issued: 12,957,533 shares</w:t>
      </w:r>
    </w:p>
    <w:p w:rsidR="00FC4075" w:rsidRDefault="00272491" w:rsidP="00272491">
      <w:pPr>
        <w:numPr>
          <w:ilvl w:val="0"/>
          <w:numId w:val="6"/>
        </w:numPr>
        <w:pBdr>
          <w:top w:val="nil"/>
          <w:left w:val="nil"/>
          <w:bottom w:val="nil"/>
          <w:right w:val="nil"/>
          <w:between w:val="nil"/>
        </w:pBdr>
        <w:tabs>
          <w:tab w:val="left" w:pos="432"/>
          <w:tab w:val="left" w:pos="2006"/>
        </w:tabs>
        <w:spacing w:after="120" w:line="360" w:lineRule="auto"/>
        <w:jc w:val="both"/>
        <w:rPr>
          <w:rFonts w:ascii="Arial" w:eastAsia="Arial" w:hAnsi="Arial" w:cs="Arial"/>
          <w:color w:val="010000"/>
          <w:sz w:val="20"/>
          <w:szCs w:val="20"/>
        </w:rPr>
      </w:pPr>
      <w:r>
        <w:rPr>
          <w:rFonts w:ascii="Arial" w:hAnsi="Arial"/>
          <w:color w:val="010000"/>
          <w:sz w:val="20"/>
        </w:rPr>
        <w:t>Par value: VND 10,000/share</w:t>
      </w:r>
    </w:p>
    <w:p w:rsidR="00FC4075" w:rsidRDefault="00272491" w:rsidP="00272491">
      <w:pPr>
        <w:numPr>
          <w:ilvl w:val="0"/>
          <w:numId w:val="6"/>
        </w:numPr>
        <w:pBdr>
          <w:top w:val="nil"/>
          <w:left w:val="nil"/>
          <w:bottom w:val="nil"/>
          <w:right w:val="nil"/>
          <w:between w:val="nil"/>
        </w:pBdr>
        <w:tabs>
          <w:tab w:val="left" w:pos="432"/>
          <w:tab w:val="left" w:pos="2068"/>
        </w:tabs>
        <w:spacing w:after="120" w:line="360" w:lineRule="auto"/>
        <w:jc w:val="both"/>
        <w:rPr>
          <w:rFonts w:ascii="Arial" w:eastAsia="Arial" w:hAnsi="Arial" w:cs="Arial"/>
          <w:color w:val="010000"/>
          <w:sz w:val="20"/>
          <w:szCs w:val="20"/>
        </w:rPr>
      </w:pPr>
      <w:r>
        <w:rPr>
          <w:rFonts w:ascii="Arial" w:hAnsi="Arial"/>
          <w:color w:val="010000"/>
          <w:sz w:val="20"/>
        </w:rPr>
        <w:t>Total issue price: VND 129,575,330,000</w:t>
      </w:r>
    </w:p>
    <w:p w:rsidR="00FC4075" w:rsidRDefault="00272491" w:rsidP="00272491">
      <w:pPr>
        <w:numPr>
          <w:ilvl w:val="0"/>
          <w:numId w:val="6"/>
        </w:numPr>
        <w:pBdr>
          <w:top w:val="nil"/>
          <w:left w:val="nil"/>
          <w:bottom w:val="nil"/>
          <w:right w:val="nil"/>
          <w:between w:val="nil"/>
        </w:pBdr>
        <w:tabs>
          <w:tab w:val="left" w:pos="432"/>
          <w:tab w:val="left" w:pos="2067"/>
        </w:tabs>
        <w:spacing w:after="120" w:line="360" w:lineRule="auto"/>
        <w:jc w:val="both"/>
        <w:rPr>
          <w:rFonts w:ascii="Arial" w:eastAsia="Arial" w:hAnsi="Arial" w:cs="Arial"/>
          <w:color w:val="010000"/>
          <w:sz w:val="20"/>
          <w:szCs w:val="20"/>
        </w:rPr>
      </w:pPr>
      <w:r>
        <w:rPr>
          <w:rFonts w:ascii="Arial" w:hAnsi="Arial"/>
          <w:color w:val="010000"/>
          <w:sz w:val="20"/>
        </w:rPr>
        <w:t>Share type: Common shares</w:t>
      </w:r>
    </w:p>
    <w:p w:rsidR="00FC4075" w:rsidRDefault="00272491" w:rsidP="00272491">
      <w:pPr>
        <w:numPr>
          <w:ilvl w:val="0"/>
          <w:numId w:val="6"/>
        </w:numPr>
        <w:pBdr>
          <w:top w:val="nil"/>
          <w:left w:val="nil"/>
          <w:bottom w:val="nil"/>
          <w:right w:val="nil"/>
          <w:between w:val="nil"/>
        </w:pBdr>
        <w:tabs>
          <w:tab w:val="left" w:pos="432"/>
          <w:tab w:val="left" w:pos="2068"/>
        </w:tabs>
        <w:spacing w:after="120" w:line="360" w:lineRule="auto"/>
        <w:jc w:val="both"/>
        <w:rPr>
          <w:rFonts w:ascii="Arial" w:eastAsia="Arial" w:hAnsi="Arial" w:cs="Arial"/>
          <w:color w:val="010000"/>
          <w:sz w:val="20"/>
          <w:szCs w:val="20"/>
        </w:rPr>
      </w:pPr>
      <w:r>
        <w:rPr>
          <w:rFonts w:ascii="Arial" w:hAnsi="Arial"/>
          <w:color w:val="010000"/>
          <w:sz w:val="20"/>
        </w:rPr>
        <w:t xml:space="preserve">Subject of the issuance: </w:t>
      </w:r>
      <w:r>
        <w:rPr>
          <w:rFonts w:ascii="Arial" w:hAnsi="Arial"/>
          <w:color w:val="010000"/>
          <w:sz w:val="20"/>
        </w:rPr>
        <w:t>All shareholders owning shares of Tien Phong Plastic JSC at the record date of the list to exercise their right to receive dividends.</w:t>
      </w:r>
    </w:p>
    <w:p w:rsidR="00FC4075" w:rsidRDefault="00272491" w:rsidP="00272491">
      <w:pPr>
        <w:numPr>
          <w:ilvl w:val="0"/>
          <w:numId w:val="6"/>
        </w:numPr>
        <w:pBdr>
          <w:top w:val="nil"/>
          <w:left w:val="nil"/>
          <w:bottom w:val="nil"/>
          <w:right w:val="nil"/>
          <w:between w:val="nil"/>
        </w:pBdr>
        <w:tabs>
          <w:tab w:val="left" w:pos="432"/>
          <w:tab w:val="left" w:pos="2068"/>
        </w:tabs>
        <w:spacing w:after="120" w:line="360" w:lineRule="auto"/>
        <w:jc w:val="both"/>
        <w:rPr>
          <w:rFonts w:ascii="Arial" w:eastAsia="Arial" w:hAnsi="Arial" w:cs="Arial"/>
          <w:color w:val="010000"/>
          <w:sz w:val="20"/>
          <w:szCs w:val="20"/>
        </w:rPr>
      </w:pPr>
      <w:r>
        <w:rPr>
          <w:rFonts w:ascii="Arial" w:hAnsi="Arial"/>
          <w:color w:val="010000"/>
          <w:sz w:val="20"/>
        </w:rPr>
        <w:t>Issue rate: 10% (Shareholders who own 10 shares will receive 01 new share)</w:t>
      </w:r>
    </w:p>
    <w:p w:rsidR="00FC4075" w:rsidRDefault="00272491" w:rsidP="00272491">
      <w:pPr>
        <w:numPr>
          <w:ilvl w:val="0"/>
          <w:numId w:val="6"/>
        </w:numPr>
        <w:pBdr>
          <w:top w:val="nil"/>
          <w:left w:val="nil"/>
          <w:bottom w:val="nil"/>
          <w:right w:val="nil"/>
          <w:between w:val="nil"/>
        </w:pBdr>
        <w:tabs>
          <w:tab w:val="left" w:pos="432"/>
          <w:tab w:val="left" w:pos="2072"/>
        </w:tabs>
        <w:spacing w:after="120" w:line="360" w:lineRule="auto"/>
        <w:jc w:val="both"/>
        <w:rPr>
          <w:rFonts w:ascii="Arial" w:eastAsia="Arial" w:hAnsi="Arial" w:cs="Arial"/>
          <w:color w:val="010000"/>
          <w:sz w:val="20"/>
          <w:szCs w:val="20"/>
        </w:rPr>
      </w:pPr>
      <w:r>
        <w:rPr>
          <w:rFonts w:ascii="Arial" w:hAnsi="Arial"/>
          <w:color w:val="010000"/>
          <w:sz w:val="20"/>
        </w:rPr>
        <w:t xml:space="preserve">Plan to handle the arising fractional shares: </w:t>
      </w:r>
      <w:r>
        <w:rPr>
          <w:rFonts w:ascii="Arial" w:hAnsi="Arial"/>
          <w:color w:val="010000"/>
          <w:sz w:val="20"/>
        </w:rPr>
        <w:t>The number of shares each shareholder receives when issuing shares to pay dividends will be rounded to the nearest unit according to the principle of rounding down. The number of fractional shares (if any) will be cancelled and not issued.</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For example:</w:t>
      </w:r>
      <w:r>
        <w:rPr>
          <w:rFonts w:ascii="Arial" w:hAnsi="Arial"/>
          <w:color w:val="010000"/>
          <w:sz w:val="20"/>
        </w:rPr>
        <w:t xml:space="preserve"> Sha</w:t>
      </w:r>
      <w:r>
        <w:rPr>
          <w:rFonts w:ascii="Arial" w:hAnsi="Arial"/>
          <w:color w:val="010000"/>
          <w:sz w:val="20"/>
        </w:rPr>
        <w:t xml:space="preserve">reholder A owns 118 shares at the record date of the list of shareholders. </w:t>
      </w:r>
      <w:r>
        <w:rPr>
          <w:rFonts w:ascii="Arial" w:hAnsi="Arial"/>
          <w:color w:val="010000"/>
          <w:sz w:val="20"/>
        </w:rPr>
        <w:t>With the exercise rate of 10:01, shareholder A will receive 11.8 new shares.</w:t>
      </w:r>
      <w:r>
        <w:rPr>
          <w:rFonts w:ascii="Arial" w:hAnsi="Arial"/>
          <w:color w:val="010000"/>
          <w:sz w:val="20"/>
        </w:rPr>
        <w:t xml:space="preserve"> </w:t>
      </w:r>
      <w:r>
        <w:rPr>
          <w:rFonts w:ascii="Arial" w:hAnsi="Arial"/>
          <w:color w:val="010000"/>
          <w:sz w:val="20"/>
        </w:rPr>
        <w:t>According to the above calculation principle, the fractional shares of 0.8 will be canceled.</w:t>
      </w:r>
      <w:r>
        <w:rPr>
          <w:rFonts w:ascii="Arial" w:hAnsi="Arial"/>
          <w:color w:val="010000"/>
          <w:sz w:val="20"/>
        </w:rPr>
        <w:t xml:space="preserve"> Thus, share</w:t>
      </w:r>
      <w:r>
        <w:rPr>
          <w:rFonts w:ascii="Arial" w:hAnsi="Arial"/>
          <w:color w:val="010000"/>
          <w:sz w:val="20"/>
        </w:rPr>
        <w:t>holder A will receive 11 new shares.</w:t>
      </w:r>
    </w:p>
    <w:p w:rsidR="00FC4075" w:rsidRDefault="00272491" w:rsidP="00272491">
      <w:pPr>
        <w:numPr>
          <w:ilvl w:val="0"/>
          <w:numId w:val="6"/>
        </w:numPr>
        <w:pBdr>
          <w:top w:val="nil"/>
          <w:left w:val="nil"/>
          <w:bottom w:val="nil"/>
          <w:right w:val="nil"/>
          <w:between w:val="nil"/>
        </w:pBdr>
        <w:tabs>
          <w:tab w:val="left" w:pos="432"/>
          <w:tab w:val="left" w:pos="2067"/>
        </w:tabs>
        <w:spacing w:after="120" w:line="360" w:lineRule="auto"/>
        <w:jc w:val="both"/>
        <w:rPr>
          <w:rFonts w:ascii="Arial" w:eastAsia="Arial" w:hAnsi="Arial" w:cs="Arial"/>
          <w:color w:val="010000"/>
          <w:sz w:val="20"/>
          <w:szCs w:val="20"/>
        </w:rPr>
      </w:pPr>
      <w:r>
        <w:rPr>
          <w:rFonts w:ascii="Arial" w:hAnsi="Arial"/>
          <w:color w:val="010000"/>
          <w:sz w:val="20"/>
        </w:rPr>
        <w:t>Source used: Profit after tax in 2023.</w:t>
      </w:r>
    </w:p>
    <w:p w:rsidR="00FC4075" w:rsidRDefault="00272491" w:rsidP="00272491">
      <w:pPr>
        <w:numPr>
          <w:ilvl w:val="0"/>
          <w:numId w:val="6"/>
        </w:numPr>
        <w:pBdr>
          <w:top w:val="nil"/>
          <w:left w:val="nil"/>
          <w:bottom w:val="nil"/>
          <w:right w:val="nil"/>
          <w:between w:val="nil"/>
        </w:pBdr>
        <w:tabs>
          <w:tab w:val="left" w:pos="432"/>
          <w:tab w:val="left" w:pos="2067"/>
        </w:tabs>
        <w:spacing w:after="120" w:line="360" w:lineRule="auto"/>
        <w:jc w:val="both"/>
        <w:rPr>
          <w:rFonts w:ascii="Arial" w:eastAsia="Arial" w:hAnsi="Arial" w:cs="Arial"/>
          <w:color w:val="010000"/>
          <w:sz w:val="20"/>
          <w:szCs w:val="20"/>
        </w:rPr>
      </w:pPr>
      <w:r>
        <w:rPr>
          <w:rFonts w:ascii="Arial" w:hAnsi="Arial"/>
          <w:color w:val="010000"/>
          <w:sz w:val="20"/>
        </w:rPr>
        <w:t>Execution time: in 2024</w:t>
      </w:r>
    </w:p>
    <w:p w:rsidR="00FC4075" w:rsidRDefault="00272491" w:rsidP="00272491">
      <w:pPr>
        <w:numPr>
          <w:ilvl w:val="0"/>
          <w:numId w:val="6"/>
        </w:numPr>
        <w:pBdr>
          <w:top w:val="nil"/>
          <w:left w:val="nil"/>
          <w:bottom w:val="nil"/>
          <w:right w:val="nil"/>
          <w:between w:val="nil"/>
        </w:pBdr>
        <w:tabs>
          <w:tab w:val="left" w:pos="432"/>
          <w:tab w:val="left" w:pos="2067"/>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w:t>
      </w:r>
    </w:p>
    <w:p w:rsidR="00FC4075" w:rsidRDefault="00272491" w:rsidP="00272491">
      <w:pPr>
        <w:numPr>
          <w:ilvl w:val="0"/>
          <w:numId w:val="1"/>
        </w:numPr>
        <w:pBdr>
          <w:top w:val="nil"/>
          <w:left w:val="nil"/>
          <w:bottom w:val="nil"/>
          <w:right w:val="nil"/>
          <w:between w:val="nil"/>
        </w:pBdr>
        <w:tabs>
          <w:tab w:val="left" w:pos="432"/>
          <w:tab w:val="left" w:pos="2490"/>
        </w:tabs>
        <w:spacing w:after="120" w:line="360" w:lineRule="auto"/>
        <w:jc w:val="both"/>
        <w:rPr>
          <w:rFonts w:ascii="Arial" w:eastAsia="Arial" w:hAnsi="Arial" w:cs="Arial"/>
          <w:color w:val="010000"/>
          <w:sz w:val="20"/>
          <w:szCs w:val="20"/>
        </w:rPr>
      </w:pPr>
      <w:r>
        <w:rPr>
          <w:rFonts w:ascii="Arial" w:hAnsi="Arial"/>
          <w:color w:val="010000"/>
          <w:sz w:val="20"/>
        </w:rPr>
        <w:t>Implement a detailed issuance plan, select issuance time;</w:t>
      </w:r>
    </w:p>
    <w:p w:rsidR="00FC4075" w:rsidRDefault="00272491" w:rsidP="00272491">
      <w:pPr>
        <w:numPr>
          <w:ilvl w:val="0"/>
          <w:numId w:val="1"/>
        </w:numPr>
        <w:pBdr>
          <w:top w:val="nil"/>
          <w:left w:val="nil"/>
          <w:bottom w:val="nil"/>
          <w:right w:val="nil"/>
          <w:between w:val="nil"/>
        </w:pBdr>
        <w:tabs>
          <w:tab w:val="left" w:pos="432"/>
          <w:tab w:val="left" w:pos="2490"/>
        </w:tabs>
        <w:spacing w:after="120" w:line="360" w:lineRule="auto"/>
        <w:jc w:val="both"/>
        <w:rPr>
          <w:rFonts w:ascii="Arial" w:eastAsia="Arial" w:hAnsi="Arial" w:cs="Arial"/>
          <w:color w:val="010000"/>
          <w:sz w:val="20"/>
          <w:szCs w:val="20"/>
        </w:rPr>
      </w:pPr>
      <w:r>
        <w:rPr>
          <w:rFonts w:ascii="Arial" w:hAnsi="Arial"/>
          <w:color w:val="010000"/>
          <w:sz w:val="20"/>
        </w:rPr>
        <w:t>Carry out issuance registration procedures, ensuring compliance with legal regulations. After successful issuance, additional trading registration will be carried out for additional issued shares on the Hanoi Stock Exchange;</w:t>
      </w:r>
    </w:p>
    <w:p w:rsidR="00FC4075" w:rsidRDefault="00272491" w:rsidP="00272491">
      <w:pPr>
        <w:numPr>
          <w:ilvl w:val="0"/>
          <w:numId w:val="1"/>
        </w:numPr>
        <w:pBdr>
          <w:top w:val="nil"/>
          <w:left w:val="nil"/>
          <w:bottom w:val="nil"/>
          <w:right w:val="nil"/>
          <w:between w:val="nil"/>
        </w:pBdr>
        <w:tabs>
          <w:tab w:val="left" w:pos="432"/>
          <w:tab w:val="left" w:pos="2470"/>
        </w:tabs>
        <w:spacing w:after="120" w:line="360" w:lineRule="auto"/>
        <w:jc w:val="both"/>
        <w:rPr>
          <w:rFonts w:ascii="Arial" w:eastAsia="Arial" w:hAnsi="Arial" w:cs="Arial"/>
          <w:color w:val="010000"/>
          <w:sz w:val="20"/>
          <w:szCs w:val="20"/>
        </w:rPr>
      </w:pPr>
      <w:r>
        <w:rPr>
          <w:rFonts w:ascii="Arial" w:hAnsi="Arial"/>
          <w:color w:val="010000"/>
          <w:sz w:val="20"/>
        </w:rPr>
        <w:lastRenderedPageBreak/>
        <w:t>Register to increase capital an</w:t>
      </w:r>
      <w:r>
        <w:rPr>
          <w:rFonts w:ascii="Arial" w:hAnsi="Arial"/>
          <w:color w:val="010000"/>
          <w:sz w:val="20"/>
        </w:rPr>
        <w:t>d amend the Charter according to the provisions of law.</w:t>
      </w:r>
    </w:p>
    <w:p w:rsidR="00FC4075" w:rsidRDefault="00272491"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approved in full by the Annual General Meeting of Shareholders 2024 of Tien Phong Plastic JSC at the General Meeting on April 27, 2024. The Board of Directors shall base on th</w:t>
      </w:r>
      <w:r>
        <w:rPr>
          <w:rFonts w:ascii="Arial" w:hAnsi="Arial"/>
          <w:color w:val="010000"/>
          <w:sz w:val="20"/>
        </w:rPr>
        <w:t>e content of this General Mandate to implement.</w:t>
      </w:r>
    </w:p>
    <w:bookmarkEnd w:id="0"/>
    <w:p w:rsidR="00FC4075" w:rsidRDefault="00FC4075" w:rsidP="002724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FC407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980"/>
    <w:multiLevelType w:val="multilevel"/>
    <w:tmpl w:val="4692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E93381"/>
    <w:multiLevelType w:val="multilevel"/>
    <w:tmpl w:val="33580A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60756AC"/>
    <w:multiLevelType w:val="multilevel"/>
    <w:tmpl w:val="99A62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303871"/>
    <w:multiLevelType w:val="multilevel"/>
    <w:tmpl w:val="0CE03FC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D270AF"/>
    <w:multiLevelType w:val="multilevel"/>
    <w:tmpl w:val="62A834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6F2587B"/>
    <w:multiLevelType w:val="multilevel"/>
    <w:tmpl w:val="686C7FF8"/>
    <w:lvl w:ilvl="0">
      <w:start w:val="1"/>
      <w:numFmt w:val="decimal"/>
      <w:lvlText w:val="%1."/>
      <w:lvlJc w:val="left"/>
      <w:pPr>
        <w:ind w:left="360" w:hanging="360"/>
      </w:pPr>
      <w:rPr>
        <w:b w:val="0"/>
        <w:i w:val="0"/>
        <w:smallCaps w:val="0"/>
        <w:strike w:val="0"/>
        <w:color w:val="000000"/>
        <w:sz w:val="20"/>
        <w:szCs w:val="20"/>
        <w:u w:val="none"/>
        <w:shd w:val="clear" w:color="auto" w:fill="auto"/>
        <w:vertAlign w:val="baseline"/>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A71A44"/>
    <w:multiLevelType w:val="multilevel"/>
    <w:tmpl w:val="B99C2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8A0B2D"/>
    <w:multiLevelType w:val="multilevel"/>
    <w:tmpl w:val="F9D033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75"/>
    <w:rsid w:val="00272491"/>
    <w:rsid w:val="00FC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CB594-1F07-4DA5-9DEF-423A4604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525458"/>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rPr>
  </w:style>
  <w:style w:type="paragraph" w:customStyle="1" w:styleId="Tiu10">
    <w:name w:val="Tiêu đề #1"/>
    <w:basedOn w:val="Normal"/>
    <w:link w:val="Tiu1"/>
    <w:pPr>
      <w:ind w:left="5320"/>
      <w:outlineLvl w:val="0"/>
    </w:pPr>
    <w:rPr>
      <w:rFonts w:ascii="Times New Roman" w:eastAsia="Times New Roman" w:hAnsi="Times New Roman" w:cs="Times New Roman"/>
      <w:b/>
      <w:bCs/>
      <w:color w:val="525458"/>
      <w:sz w:val="32"/>
      <w:szCs w:val="32"/>
    </w:rPr>
  </w:style>
  <w:style w:type="paragraph" w:customStyle="1" w:styleId="Tiu20">
    <w:name w:val="Tiêu đề #2"/>
    <w:basedOn w:val="Normal"/>
    <w:link w:val="Tiu2"/>
    <w:pPr>
      <w:spacing w:line="336" w:lineRule="auto"/>
      <w:ind w:left="1920"/>
      <w:outlineLvl w:val="1"/>
    </w:pPr>
    <w:rPr>
      <w:rFonts w:ascii="Times New Roman" w:eastAsia="Times New Roman" w:hAnsi="Times New Roman" w:cs="Times New Roman"/>
      <w:b/>
      <w:bCs/>
    </w:rPr>
  </w:style>
  <w:style w:type="paragraph" w:customStyle="1" w:styleId="Khc0">
    <w:name w:val="Khác"/>
    <w:basedOn w:val="Normal"/>
    <w:link w:val="Khc"/>
    <w:pPr>
      <w:spacing w:line="302"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OR5pFmxPr92THsY8+0Lra+VVRg==">CgMxLjA4AHIhMXN1d2V3eW1peXBlaDRpbVpqbEtIdnVjekdGeW4zbjl2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2024-05-07T04:12:00Z</dcterms:created>
  <dcterms:modified xsi:type="dcterms:W3CDTF">2024-05-08T04:21:00Z</dcterms:modified>
</cp:coreProperties>
</file>