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93" w:rsidRPr="00160873" w:rsidRDefault="00160873" w:rsidP="0016087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PFL: Annual General Mandate 2024</w:t>
      </w:r>
    </w:p>
    <w:p w:rsidR="00D62893" w:rsidRPr="00160873" w:rsidRDefault="00160873" w:rsidP="001608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26, 2024, Petroleum Dong Do JSC announced General Mandate No. 21/NQ-DKDD-DHDCD as follows:</w:t>
      </w:r>
    </w:p>
    <w:p w:rsidR="00D62893" w:rsidRPr="00160873" w:rsidRDefault="00160873" w:rsidP="001608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The Annual General Meeting of Shareholders in 2024 of Petroleum Dong Do JSC approves the following contents:</w:t>
      </w:r>
    </w:p>
    <w:p w:rsidR="00D62893" w:rsidRPr="00160873" w:rsidRDefault="00160873" w:rsidP="00160873">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Report No. 18/BC-DKDD-HDQT dated April 16, 2024 by the Board of Directors on the activities of the Board of Directors in 2023 and the plan for 2024.</w:t>
      </w:r>
    </w:p>
    <w:p w:rsidR="00D62893" w:rsidRPr="00160873" w:rsidRDefault="00160873" w:rsidP="00160873">
      <w:pPr>
        <w:numPr>
          <w:ilvl w:val="0"/>
          <w:numId w:val="3"/>
        </w:numPr>
        <w:pBdr>
          <w:top w:val="nil"/>
          <w:left w:val="nil"/>
          <w:bottom w:val="nil"/>
          <w:right w:val="nil"/>
          <w:between w:val="nil"/>
        </w:pBdr>
        <w:tabs>
          <w:tab w:val="left" w:pos="142"/>
          <w:tab w:val="left" w:pos="284"/>
          <w:tab w:val="left" w:pos="432"/>
        </w:tabs>
        <w:spacing w:after="120" w:line="360" w:lineRule="auto"/>
        <w:rPr>
          <w:rFonts w:ascii="Arial" w:eastAsia="Arial" w:hAnsi="Arial" w:cs="Arial"/>
          <w:color w:val="010000"/>
          <w:sz w:val="20"/>
          <w:szCs w:val="20"/>
        </w:rPr>
      </w:pPr>
      <w:r>
        <w:rPr>
          <w:rFonts w:ascii="Arial" w:hAnsi="Arial"/>
          <w:color w:val="010000"/>
          <w:sz w:val="20"/>
        </w:rPr>
        <w:t>Approve Report No. 45/DKDD-KTKH dated April 16, 2024 on the results of production and business activities in 2023 and the plan for 2024.</w:t>
      </w:r>
    </w:p>
    <w:p w:rsidR="00D62893" w:rsidRPr="00160873" w:rsidRDefault="00160873" w:rsidP="00160873">
      <w:pPr>
        <w:numPr>
          <w:ilvl w:val="1"/>
          <w:numId w:val="1"/>
        </w:numPr>
        <w:pBdr>
          <w:top w:val="nil"/>
          <w:left w:val="nil"/>
          <w:bottom w:val="nil"/>
          <w:right w:val="nil"/>
          <w:between w:val="nil"/>
        </w:pBdr>
        <w:tabs>
          <w:tab w:val="left" w:pos="142"/>
          <w:tab w:val="left" w:pos="284"/>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Results of production and business activities in 2023 with key indicators:</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Production and business value: VND 20.79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Revenue: VND 24.58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Profit from production and business activities before tax: VND -5.39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Profit from production and business activities after tax: VND -5.39 billion;</w:t>
      </w:r>
    </w:p>
    <w:p w:rsidR="00D62893" w:rsidRPr="00160873" w:rsidRDefault="00160873" w:rsidP="00160873">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Profit after tax after reversal of other funds according to General Mandate No. 15/NQ-DKD/-DHDCD dated April 26, 2023: VND 0.146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Average income: VND 8.17 million/person/month,</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Investment value for purchasing equipment: VND 0</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Charter capital: VND 500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Dividend rate 0%.</w:t>
      </w:r>
    </w:p>
    <w:p w:rsidR="00D62893" w:rsidRPr="00160873" w:rsidRDefault="00160873" w:rsidP="00160873">
      <w:pPr>
        <w:numPr>
          <w:ilvl w:val="1"/>
          <w:numId w:val="1"/>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Plan for production and business activities in 2024 with key targets:</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Production and business value: VND 90.00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Revenue: VND 80.00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Profit before tax: VND 0.36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Profit after tax: VND 0.36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Investment value for purchasing assets, machinery and equipment: VND 5 billion;</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Average number of employees: 55 people</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Average income: VND 8.2 million/person/month</w:t>
      </w:r>
    </w:p>
    <w:p w:rsidR="00D62893" w:rsidRPr="00160873" w:rsidRDefault="00160873" w:rsidP="00160873">
      <w:pPr>
        <w:numPr>
          <w:ilvl w:val="0"/>
          <w:numId w:val="2"/>
        </w:numPr>
        <w:pBdr>
          <w:top w:val="nil"/>
          <w:left w:val="nil"/>
          <w:bottom w:val="nil"/>
          <w:right w:val="nil"/>
          <w:between w:val="nil"/>
        </w:pBdr>
        <w:tabs>
          <w:tab w:val="left" w:pos="426"/>
          <w:tab w:val="left" w:pos="2372"/>
        </w:tabs>
        <w:spacing w:after="120" w:line="360" w:lineRule="auto"/>
        <w:rPr>
          <w:rFonts w:ascii="Arial" w:eastAsia="Arial" w:hAnsi="Arial" w:cs="Arial"/>
          <w:color w:val="010000"/>
          <w:sz w:val="20"/>
          <w:szCs w:val="20"/>
        </w:rPr>
      </w:pPr>
      <w:r>
        <w:rPr>
          <w:rFonts w:ascii="Arial" w:hAnsi="Arial"/>
          <w:color w:val="010000"/>
          <w:sz w:val="20"/>
        </w:rPr>
        <w:t>Charter capital: VND 500 billion</w:t>
      </w:r>
    </w:p>
    <w:p w:rsidR="00D62893" w:rsidRPr="00160873" w:rsidRDefault="00160873" w:rsidP="00160873">
      <w:pPr>
        <w:numPr>
          <w:ilvl w:val="0"/>
          <w:numId w:val="2"/>
        </w:numPr>
        <w:pBdr>
          <w:top w:val="nil"/>
          <w:left w:val="nil"/>
          <w:bottom w:val="nil"/>
          <w:right w:val="nil"/>
          <w:between w:val="nil"/>
        </w:pBdr>
        <w:tabs>
          <w:tab w:val="left" w:pos="426"/>
          <w:tab w:val="left" w:pos="2372"/>
          <w:tab w:val="left" w:pos="5424"/>
        </w:tabs>
        <w:spacing w:after="120" w:line="360" w:lineRule="auto"/>
        <w:rPr>
          <w:rFonts w:ascii="Arial" w:eastAsia="Arial" w:hAnsi="Arial" w:cs="Arial"/>
          <w:color w:val="010000"/>
          <w:sz w:val="20"/>
          <w:szCs w:val="20"/>
        </w:rPr>
      </w:pPr>
      <w:r>
        <w:rPr>
          <w:rFonts w:ascii="Arial" w:hAnsi="Arial"/>
          <w:color w:val="010000"/>
          <w:sz w:val="20"/>
        </w:rPr>
        <w:t>Dividend rate 0%.</w:t>
      </w:r>
    </w:p>
    <w:p w:rsidR="00D62893" w:rsidRPr="00160873" w:rsidRDefault="00160873" w:rsidP="00160873">
      <w:pPr>
        <w:numPr>
          <w:ilvl w:val="0"/>
          <w:numId w:val="3"/>
        </w:numPr>
        <w:pBdr>
          <w:top w:val="nil"/>
          <w:left w:val="nil"/>
          <w:bottom w:val="nil"/>
          <w:right w:val="nil"/>
          <w:between w:val="nil"/>
        </w:pBdr>
        <w:tabs>
          <w:tab w:val="left" w:pos="426"/>
          <w:tab w:val="left" w:pos="2446"/>
        </w:tabs>
        <w:spacing w:after="120" w:line="360" w:lineRule="auto"/>
        <w:rPr>
          <w:rFonts w:ascii="Arial" w:eastAsia="Arial" w:hAnsi="Arial" w:cs="Arial"/>
          <w:color w:val="010000"/>
          <w:sz w:val="20"/>
          <w:szCs w:val="20"/>
        </w:rPr>
      </w:pPr>
      <w:r>
        <w:rPr>
          <w:rFonts w:ascii="Arial" w:hAnsi="Arial"/>
          <w:color w:val="010000"/>
          <w:sz w:val="20"/>
        </w:rPr>
        <w:t xml:space="preserve">Approve Report No. 07/BC-DKDD-BKS dated March 29, 2024 by the Supervisory Board on the results of inspection and supervision of the Supervisory Board in 2023 and the plan of activities for </w:t>
      </w:r>
      <w:r>
        <w:rPr>
          <w:rFonts w:ascii="Arial" w:hAnsi="Arial"/>
          <w:color w:val="010000"/>
          <w:sz w:val="20"/>
        </w:rPr>
        <w:lastRenderedPageBreak/>
        <w:t>2024.</w:t>
      </w:r>
    </w:p>
    <w:p w:rsidR="00D62893" w:rsidRPr="00160873" w:rsidRDefault="00160873" w:rsidP="00160873">
      <w:pPr>
        <w:numPr>
          <w:ilvl w:val="0"/>
          <w:numId w:val="3"/>
        </w:numPr>
        <w:pBdr>
          <w:top w:val="nil"/>
          <w:left w:val="nil"/>
          <w:bottom w:val="nil"/>
          <w:right w:val="nil"/>
          <w:between w:val="nil"/>
        </w:pBdr>
        <w:tabs>
          <w:tab w:val="left" w:pos="426"/>
          <w:tab w:val="left" w:pos="2478"/>
        </w:tabs>
        <w:spacing w:after="120" w:line="360" w:lineRule="auto"/>
        <w:rPr>
          <w:rFonts w:ascii="Arial" w:eastAsia="Arial" w:hAnsi="Arial" w:cs="Arial"/>
          <w:color w:val="010000"/>
          <w:sz w:val="20"/>
          <w:szCs w:val="20"/>
        </w:rPr>
      </w:pPr>
      <w:r>
        <w:rPr>
          <w:rFonts w:ascii="Arial" w:hAnsi="Arial"/>
          <w:color w:val="010000"/>
          <w:sz w:val="20"/>
        </w:rPr>
        <w:t>Approve Proposal No. 06/TTr-DKDD-BKS dated March 29, 2024 by the Supervisory Board on the selection of an independent audit company to audit the Financial Statements for 2024 and authorize the Board of Directors of the Company to select the audit company for 2024.</w:t>
      </w:r>
    </w:p>
    <w:p w:rsidR="00D62893" w:rsidRPr="00160873" w:rsidRDefault="00160873" w:rsidP="00160873">
      <w:pPr>
        <w:numPr>
          <w:ilvl w:val="0"/>
          <w:numId w:val="3"/>
        </w:numPr>
        <w:pBdr>
          <w:top w:val="nil"/>
          <w:left w:val="nil"/>
          <w:bottom w:val="nil"/>
          <w:right w:val="nil"/>
          <w:between w:val="nil"/>
        </w:pBdr>
        <w:tabs>
          <w:tab w:val="left" w:pos="426"/>
          <w:tab w:val="left" w:pos="2470"/>
        </w:tabs>
        <w:spacing w:after="120" w:line="360" w:lineRule="auto"/>
        <w:rPr>
          <w:rFonts w:ascii="Arial" w:eastAsia="Arial" w:hAnsi="Arial" w:cs="Arial"/>
          <w:color w:val="010000"/>
          <w:sz w:val="20"/>
          <w:szCs w:val="20"/>
        </w:rPr>
      </w:pPr>
      <w:r>
        <w:rPr>
          <w:rFonts w:ascii="Arial" w:hAnsi="Arial"/>
          <w:color w:val="010000"/>
          <w:sz w:val="20"/>
        </w:rPr>
        <w:t>Approve Proposal No. 13/TTr-DKDD-HDQT by the Board of Directors dated April 06, 2024 on Approving the audited Financial Statements for 2023.</w:t>
      </w:r>
    </w:p>
    <w:p w:rsidR="00D62893" w:rsidRPr="00160873" w:rsidRDefault="00160873" w:rsidP="00160873">
      <w:pPr>
        <w:numPr>
          <w:ilvl w:val="0"/>
          <w:numId w:val="3"/>
        </w:numPr>
        <w:pBdr>
          <w:top w:val="nil"/>
          <w:left w:val="nil"/>
          <w:bottom w:val="nil"/>
          <w:right w:val="nil"/>
          <w:between w:val="nil"/>
        </w:pBdr>
        <w:tabs>
          <w:tab w:val="left" w:pos="426"/>
          <w:tab w:val="left" w:pos="2474"/>
        </w:tabs>
        <w:spacing w:after="120" w:line="360" w:lineRule="auto"/>
        <w:rPr>
          <w:rFonts w:ascii="Arial" w:eastAsia="Arial" w:hAnsi="Arial" w:cs="Arial"/>
          <w:color w:val="010000"/>
          <w:sz w:val="20"/>
          <w:szCs w:val="20"/>
        </w:rPr>
      </w:pPr>
      <w:r>
        <w:rPr>
          <w:rFonts w:ascii="Arial" w:hAnsi="Arial"/>
          <w:color w:val="010000"/>
          <w:sz w:val="20"/>
        </w:rPr>
        <w:t>Approve Proposal No. 12/TTr-DKDD-HDQT by the Board of Directors dated April 06, 2024 on not paying dividends and setting up funds for 2023.</w:t>
      </w:r>
    </w:p>
    <w:p w:rsidR="00D62893" w:rsidRPr="00160873" w:rsidRDefault="00160873" w:rsidP="00160873">
      <w:pPr>
        <w:numPr>
          <w:ilvl w:val="0"/>
          <w:numId w:val="3"/>
        </w:numPr>
        <w:pBdr>
          <w:top w:val="nil"/>
          <w:left w:val="nil"/>
          <w:bottom w:val="nil"/>
          <w:right w:val="nil"/>
          <w:between w:val="nil"/>
        </w:pBdr>
        <w:tabs>
          <w:tab w:val="left" w:pos="426"/>
          <w:tab w:val="left" w:pos="2478"/>
        </w:tabs>
        <w:spacing w:after="120" w:line="360" w:lineRule="auto"/>
        <w:rPr>
          <w:rFonts w:ascii="Arial" w:eastAsia="Arial" w:hAnsi="Arial" w:cs="Arial"/>
          <w:color w:val="010000"/>
          <w:sz w:val="20"/>
          <w:szCs w:val="20"/>
        </w:rPr>
      </w:pPr>
      <w:r>
        <w:rPr>
          <w:rFonts w:ascii="Arial" w:hAnsi="Arial"/>
          <w:color w:val="010000"/>
          <w:sz w:val="20"/>
        </w:rPr>
        <w:t>Approve Proposal No. 14/TTr-DKDD-HDQT dated April 06, 2024 by the Board of Directors on the Settlement of salaries/remuneration in 2023 and the plan for paying salaries/remuneration in 2024 to the Board of Directors and the Supervisory Board of the Company, in which the payment plan for 2024 is VND 1,440,000,000.</w:t>
      </w:r>
    </w:p>
    <w:p w:rsidR="00D62893" w:rsidRPr="00160873" w:rsidRDefault="00160873" w:rsidP="001608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The Board of Directors of the Company is responsible for directing and organizing the implementation of the contents of this General Mandate in accordance with the provisions of law and the Company's Charter.</w:t>
      </w:r>
    </w:p>
    <w:p w:rsidR="00D62893" w:rsidRPr="00160873" w:rsidRDefault="00160873" w:rsidP="001608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This General Mandate was approved by the Annual General Meeting of Shareholders in 2024 of Petroleum Dong Do JSC and takes effect from April 26, 2024.</w:t>
      </w:r>
    </w:p>
    <w:sectPr w:rsidR="00D62893" w:rsidRPr="00160873" w:rsidSect="0016087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7E1"/>
    <w:multiLevelType w:val="multilevel"/>
    <w:tmpl w:val="34B454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2765302"/>
    <w:multiLevelType w:val="multilevel"/>
    <w:tmpl w:val="B26A2010"/>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B396E3C"/>
    <w:multiLevelType w:val="multilevel"/>
    <w:tmpl w:val="92DA1FA2"/>
    <w:lvl w:ilvl="0">
      <w:start w:val="1"/>
      <w:numFmt w:val="bullet"/>
      <w:lvlText w:val="-"/>
      <w:lvlJc w:val="left"/>
      <w:pPr>
        <w:ind w:left="0" w:firstLine="0"/>
      </w:pPr>
      <w:rPr>
        <w:rFonts w:ascii="Arial" w:eastAsia="Arial" w:hAnsi="Arial" w:cs="Arial"/>
        <w:b w:val="0"/>
        <w:i w:val="0"/>
        <w:smallCaps w:val="0"/>
        <w:strike w:val="0"/>
        <w:color w:val="51555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93"/>
    <w:rsid w:val="00160873"/>
    <w:rsid w:val="00171408"/>
    <w:rsid w:val="00A60FC4"/>
    <w:rsid w:val="00D6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0529D4-4434-43B4-8A19-466B52F8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1555B"/>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F15B6B"/>
      <w:sz w:val="16"/>
      <w:szCs w:val="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51555B"/>
    </w:rPr>
  </w:style>
  <w:style w:type="paragraph" w:customStyle="1" w:styleId="Vnbnnidung30">
    <w:name w:val="Văn bản nội dung (3)"/>
    <w:basedOn w:val="Normal"/>
    <w:link w:val="Vnbnnidung3"/>
    <w:pPr>
      <w:spacing w:line="250" w:lineRule="auto"/>
      <w:jc w:val="right"/>
    </w:pPr>
    <w:rPr>
      <w:rFonts w:ascii="Arial" w:eastAsia="Arial" w:hAnsi="Arial" w:cs="Arial"/>
      <w:color w:val="F15B6B"/>
      <w:sz w:val="16"/>
      <w:szCs w:val="16"/>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60">
    <w:name w:val="Văn bản nội dung (6)"/>
    <w:basedOn w:val="Normal"/>
    <w:link w:val="Vnbnnidung6"/>
    <w:pPr>
      <w:ind w:firstLine="840"/>
    </w:pPr>
    <w:rPr>
      <w:rFonts w:ascii="Arial" w:eastAsia="Arial" w:hAnsi="Arial" w:cs="Arial"/>
      <w:sz w:val="19"/>
      <w:szCs w:val="19"/>
    </w:rPr>
  </w:style>
  <w:style w:type="paragraph" w:customStyle="1" w:styleId="Vnbnnidung40">
    <w:name w:val="Văn bản nội dung (4)"/>
    <w:basedOn w:val="Normal"/>
    <w:link w:val="Vnbnnidung4"/>
    <w:pPr>
      <w:ind w:firstLine="180"/>
    </w:pPr>
    <w:rPr>
      <w:rFonts w:ascii="Times New Roman" w:eastAsia="Times New Roman" w:hAnsi="Times New Roman" w:cs="Times New Roman"/>
      <w:sz w:val="20"/>
      <w:szCs w:val="20"/>
    </w:rPr>
  </w:style>
  <w:style w:type="character" w:customStyle="1" w:styleId="Khc">
    <w:name w:val="Khác_"/>
    <w:basedOn w:val="DefaultParagraphFont"/>
    <w:link w:val="Khc0"/>
    <w:rsid w:val="000B11A5"/>
    <w:rPr>
      <w:rFonts w:ascii="Times New Roman" w:eastAsia="Times New Roman" w:hAnsi="Times New Roman" w:cs="Times New Roman"/>
    </w:rPr>
  </w:style>
  <w:style w:type="paragraph" w:customStyle="1" w:styleId="Khc0">
    <w:name w:val="Khác"/>
    <w:basedOn w:val="Normal"/>
    <w:link w:val="Khc"/>
    <w:rsid w:val="000B11A5"/>
    <w:pPr>
      <w:spacing w:line="283" w:lineRule="auto"/>
      <w:ind w:firstLine="400"/>
    </w:pPr>
    <w:rPr>
      <w:rFonts w:ascii="Times New Roman" w:eastAsia="Times New Roman" w:hAnsi="Times New Roman" w:cs="Times New Roman"/>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GQ/DJBA3JPTHSOnuTwVGG+sGpg==">CgMxLjA4AHIhMWc2V2N5Qy1yR1k5MnhaaU1BamJoOG9yZlk0YVFib3F5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2024-05-08T07:41:00Z</dcterms:created>
  <dcterms:modified xsi:type="dcterms:W3CDTF">2024-05-08T07:41:00Z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b2b4ebd875af617aeac6e9e0ad1995e854982512af72a351b74196b7875fc150</vt:lpwstr>
  </property>
</Properties>
</file>