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CA" w:rsidRPr="00284444" w:rsidRDefault="00284444" w:rsidP="0073335F">
      <w:pPr>
        <w:spacing w:after="120" w:line="360" w:lineRule="auto"/>
        <w:jc w:val="both"/>
        <w:rPr>
          <w:rFonts w:ascii="Arial" w:eastAsia="Arial" w:hAnsi="Arial" w:cs="Arial"/>
          <w:b/>
          <w:color w:val="010000"/>
          <w:sz w:val="20"/>
          <w:szCs w:val="20"/>
        </w:rPr>
      </w:pPr>
      <w:r>
        <w:rPr>
          <w:rFonts w:ascii="Arial" w:hAnsi="Arial"/>
          <w:b/>
          <w:color w:val="010000"/>
          <w:sz w:val="20"/>
        </w:rPr>
        <w:t>PVB: Annual General Mandate</w:t>
      </w:r>
    </w:p>
    <w:p w:rsidR="000B40CA" w:rsidRPr="00284444" w:rsidRDefault="00284444" w:rsidP="0073335F">
      <w:pPr>
        <w:spacing w:after="120" w:line="360" w:lineRule="auto"/>
        <w:jc w:val="both"/>
        <w:rPr>
          <w:rFonts w:ascii="Arial" w:eastAsia="Arial" w:hAnsi="Arial" w:cs="Arial"/>
          <w:color w:val="010000"/>
          <w:sz w:val="20"/>
          <w:szCs w:val="20"/>
        </w:rPr>
      </w:pPr>
      <w:r>
        <w:rPr>
          <w:rFonts w:ascii="Arial" w:hAnsi="Arial"/>
          <w:color w:val="010000"/>
          <w:sz w:val="20"/>
        </w:rPr>
        <w:t xml:space="preserve">On April 25, 2024, PetroVietnam Coating Joint Stock Company announced General Mandate No. 08/NQ-DHDCD as follows: </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Production and Business results in 2023 and the Production and Business plan for 2024 according to Proposal No. 02/TTr - HDQT dated March 25, 2024 of the Company with the main contents as follows:</w:t>
      </w:r>
      <w:bookmarkStart w:id="0" w:name="_GoBack"/>
      <w:bookmarkEnd w:id="0"/>
    </w:p>
    <w:p w:rsidR="000B40CA" w:rsidRPr="00284444" w:rsidRDefault="00284444" w:rsidP="0073335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production and business results in 2023 are as follows:</w:t>
      </w:r>
    </w:p>
    <w:p w:rsidR="000B40CA" w:rsidRPr="00284444" w:rsidRDefault="00284444" w:rsidP="0073335F">
      <w:pPr>
        <w:numPr>
          <w:ilvl w:val="0"/>
          <w:numId w:val="2"/>
        </w:numPr>
        <w:pBdr>
          <w:top w:val="nil"/>
          <w:left w:val="nil"/>
          <w:bottom w:val="nil"/>
          <w:right w:val="nil"/>
          <w:between w:val="nil"/>
        </w:pBdr>
        <w:tabs>
          <w:tab w:val="left" w:pos="426"/>
          <w:tab w:val="right" w:pos="6181"/>
          <w:tab w:val="right" w:pos="6422"/>
        </w:tabs>
        <w:spacing w:after="120" w:line="360" w:lineRule="auto"/>
        <w:jc w:val="both"/>
        <w:rPr>
          <w:rFonts w:ascii="Arial" w:eastAsia="Arial" w:hAnsi="Arial" w:cs="Arial"/>
          <w:color w:val="010000"/>
          <w:sz w:val="20"/>
          <w:szCs w:val="20"/>
        </w:rPr>
      </w:pPr>
      <w:r>
        <w:rPr>
          <w:rFonts w:ascii="Arial" w:hAnsi="Arial"/>
          <w:color w:val="010000"/>
          <w:sz w:val="20"/>
        </w:rPr>
        <w:t>Revenue: VND 244.5 billion;</w:t>
      </w:r>
    </w:p>
    <w:p w:rsidR="000B40CA" w:rsidRPr="00284444" w:rsidRDefault="00284444" w:rsidP="0073335F">
      <w:pPr>
        <w:numPr>
          <w:ilvl w:val="0"/>
          <w:numId w:val="2"/>
        </w:numPr>
        <w:pBdr>
          <w:top w:val="nil"/>
          <w:left w:val="nil"/>
          <w:bottom w:val="nil"/>
          <w:right w:val="nil"/>
          <w:between w:val="nil"/>
        </w:pBdr>
        <w:tabs>
          <w:tab w:val="left" w:pos="426"/>
          <w:tab w:val="right" w:pos="6181"/>
        </w:tabs>
        <w:spacing w:after="120" w:line="360" w:lineRule="auto"/>
        <w:jc w:val="both"/>
        <w:rPr>
          <w:rFonts w:ascii="Arial" w:eastAsia="Arial" w:hAnsi="Arial" w:cs="Arial"/>
          <w:color w:val="010000"/>
          <w:sz w:val="20"/>
          <w:szCs w:val="20"/>
        </w:rPr>
      </w:pPr>
      <w:r>
        <w:rPr>
          <w:rFonts w:ascii="Arial" w:hAnsi="Arial"/>
          <w:color w:val="010000"/>
          <w:sz w:val="20"/>
        </w:rPr>
        <w:t>Profit before tax: VND 4.15 billion</w:t>
      </w:r>
    </w:p>
    <w:p w:rsidR="000B40CA" w:rsidRPr="00284444" w:rsidRDefault="00284444" w:rsidP="0073335F">
      <w:pPr>
        <w:numPr>
          <w:ilvl w:val="0"/>
          <w:numId w:val="2"/>
        </w:numPr>
        <w:pBdr>
          <w:top w:val="nil"/>
          <w:left w:val="nil"/>
          <w:bottom w:val="nil"/>
          <w:right w:val="nil"/>
          <w:between w:val="nil"/>
        </w:pBdr>
        <w:tabs>
          <w:tab w:val="left" w:pos="426"/>
          <w:tab w:val="right" w:pos="6181"/>
          <w:tab w:val="right" w:pos="6404"/>
        </w:tabs>
        <w:spacing w:after="120" w:line="360" w:lineRule="auto"/>
        <w:jc w:val="both"/>
        <w:rPr>
          <w:rFonts w:ascii="Arial" w:eastAsia="Arial" w:hAnsi="Arial" w:cs="Arial"/>
          <w:color w:val="010000"/>
          <w:sz w:val="20"/>
          <w:szCs w:val="20"/>
        </w:rPr>
      </w:pPr>
      <w:r>
        <w:rPr>
          <w:rFonts w:ascii="Arial" w:hAnsi="Arial"/>
          <w:color w:val="010000"/>
          <w:sz w:val="20"/>
        </w:rPr>
        <w:t>Profit after tax: VND 3.36 billion.</w:t>
      </w:r>
    </w:p>
    <w:p w:rsidR="000B40CA" w:rsidRPr="00284444" w:rsidRDefault="00284444" w:rsidP="0073335F">
      <w:pPr>
        <w:numPr>
          <w:ilvl w:val="0"/>
          <w:numId w:val="2"/>
        </w:numPr>
        <w:pBdr>
          <w:top w:val="nil"/>
          <w:left w:val="nil"/>
          <w:bottom w:val="nil"/>
          <w:right w:val="nil"/>
          <w:between w:val="nil"/>
        </w:pBdr>
        <w:tabs>
          <w:tab w:val="left" w:pos="426"/>
          <w:tab w:val="right" w:pos="6181"/>
          <w:tab w:val="right" w:pos="6404"/>
        </w:tabs>
        <w:spacing w:after="120" w:line="360" w:lineRule="auto"/>
        <w:jc w:val="both"/>
        <w:rPr>
          <w:rFonts w:ascii="Arial" w:eastAsia="Arial" w:hAnsi="Arial" w:cs="Arial"/>
          <w:color w:val="010000"/>
          <w:sz w:val="20"/>
          <w:szCs w:val="20"/>
        </w:rPr>
      </w:pPr>
      <w:r>
        <w:rPr>
          <w:rFonts w:ascii="Arial" w:hAnsi="Arial"/>
          <w:color w:val="010000"/>
          <w:sz w:val="20"/>
        </w:rPr>
        <w:t>Payables to the State Budget: VND 6.49 billion;</w:t>
      </w:r>
    </w:p>
    <w:p w:rsidR="000B40CA" w:rsidRPr="00284444" w:rsidRDefault="00284444" w:rsidP="0073335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2024</w:t>
      </w:r>
    </w:p>
    <w:p w:rsidR="000B40CA" w:rsidRPr="00284444" w:rsidRDefault="00284444" w:rsidP="0073335F">
      <w:pPr>
        <w:numPr>
          <w:ilvl w:val="0"/>
          <w:numId w:val="2"/>
        </w:numPr>
        <w:pBdr>
          <w:top w:val="nil"/>
          <w:left w:val="nil"/>
          <w:bottom w:val="nil"/>
          <w:right w:val="nil"/>
          <w:between w:val="nil"/>
        </w:pBdr>
        <w:tabs>
          <w:tab w:val="left" w:pos="426"/>
          <w:tab w:val="right" w:pos="6181"/>
          <w:tab w:val="right" w:pos="6404"/>
        </w:tabs>
        <w:spacing w:after="120" w:line="360" w:lineRule="auto"/>
        <w:jc w:val="both"/>
        <w:rPr>
          <w:rFonts w:ascii="Arial" w:eastAsia="Arial" w:hAnsi="Arial" w:cs="Arial"/>
          <w:color w:val="010000"/>
          <w:sz w:val="20"/>
          <w:szCs w:val="20"/>
        </w:rPr>
      </w:pPr>
      <w:r>
        <w:rPr>
          <w:rFonts w:ascii="Arial" w:hAnsi="Arial"/>
          <w:color w:val="010000"/>
          <w:sz w:val="20"/>
        </w:rPr>
        <w:t>Revenue: VND 210 billion.</w:t>
      </w:r>
    </w:p>
    <w:p w:rsidR="000B40CA" w:rsidRPr="00284444" w:rsidRDefault="00284444" w:rsidP="0073335F">
      <w:pPr>
        <w:numPr>
          <w:ilvl w:val="0"/>
          <w:numId w:val="2"/>
        </w:numPr>
        <w:pBdr>
          <w:top w:val="nil"/>
          <w:left w:val="nil"/>
          <w:bottom w:val="nil"/>
          <w:right w:val="nil"/>
          <w:between w:val="nil"/>
        </w:pBdr>
        <w:tabs>
          <w:tab w:val="left" w:pos="426"/>
          <w:tab w:val="right" w:pos="6181"/>
          <w:tab w:val="right" w:pos="6404"/>
        </w:tabs>
        <w:spacing w:after="120" w:line="360" w:lineRule="auto"/>
        <w:jc w:val="both"/>
        <w:rPr>
          <w:rFonts w:ascii="Arial" w:eastAsia="Arial" w:hAnsi="Arial" w:cs="Arial"/>
          <w:color w:val="010000"/>
          <w:sz w:val="20"/>
          <w:szCs w:val="20"/>
        </w:rPr>
      </w:pPr>
      <w:r>
        <w:rPr>
          <w:rFonts w:ascii="Arial" w:hAnsi="Arial"/>
          <w:color w:val="010000"/>
          <w:sz w:val="20"/>
        </w:rPr>
        <w:t>Profit before tax: VND 2.85 billion</w:t>
      </w:r>
    </w:p>
    <w:p w:rsidR="000B40CA" w:rsidRPr="00284444" w:rsidRDefault="00284444" w:rsidP="0073335F">
      <w:pPr>
        <w:numPr>
          <w:ilvl w:val="0"/>
          <w:numId w:val="2"/>
        </w:numPr>
        <w:pBdr>
          <w:top w:val="nil"/>
          <w:left w:val="nil"/>
          <w:bottom w:val="nil"/>
          <w:right w:val="nil"/>
          <w:between w:val="nil"/>
        </w:pBdr>
        <w:tabs>
          <w:tab w:val="left" w:pos="426"/>
          <w:tab w:val="right" w:pos="6181"/>
          <w:tab w:val="right" w:pos="6404"/>
        </w:tabs>
        <w:spacing w:after="120" w:line="360" w:lineRule="auto"/>
        <w:jc w:val="both"/>
        <w:rPr>
          <w:rFonts w:ascii="Arial" w:eastAsia="Arial" w:hAnsi="Arial" w:cs="Arial"/>
          <w:color w:val="010000"/>
          <w:sz w:val="20"/>
          <w:szCs w:val="20"/>
        </w:rPr>
      </w:pPr>
      <w:r>
        <w:rPr>
          <w:rFonts w:ascii="Arial" w:hAnsi="Arial"/>
          <w:color w:val="010000"/>
          <w:sz w:val="20"/>
        </w:rPr>
        <w:t>Profit after tax: VND 2.28 billion.</w:t>
      </w:r>
    </w:p>
    <w:p w:rsidR="000B40CA" w:rsidRPr="00284444" w:rsidRDefault="00284444" w:rsidP="0073335F">
      <w:pPr>
        <w:numPr>
          <w:ilvl w:val="0"/>
          <w:numId w:val="2"/>
        </w:numPr>
        <w:pBdr>
          <w:top w:val="nil"/>
          <w:left w:val="nil"/>
          <w:bottom w:val="nil"/>
          <w:right w:val="nil"/>
          <w:between w:val="nil"/>
        </w:pBdr>
        <w:tabs>
          <w:tab w:val="left" w:pos="426"/>
          <w:tab w:val="right" w:pos="6181"/>
          <w:tab w:val="right" w:pos="6404"/>
        </w:tabs>
        <w:spacing w:after="120" w:line="360" w:lineRule="auto"/>
        <w:jc w:val="both"/>
        <w:rPr>
          <w:rFonts w:ascii="Arial" w:eastAsia="Arial" w:hAnsi="Arial" w:cs="Arial"/>
          <w:color w:val="010000"/>
          <w:sz w:val="20"/>
          <w:szCs w:val="20"/>
        </w:rPr>
      </w:pPr>
      <w:r>
        <w:rPr>
          <w:rFonts w:ascii="Arial" w:hAnsi="Arial"/>
          <w:color w:val="010000"/>
          <w:sz w:val="20"/>
        </w:rPr>
        <w:t>Payables to the State Budget: VND 8.37 billion;</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Report on the Board of Directors' activities in 2023 and the activity plan for 2024 according to Report No. 03/BC - HDQT dated March 25, 2024 of the Company's Board of Directors.</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on the Supervisory Board's activities in 2023 and the activity plan for 2024 according to Proposal No. 04/TTr - BKS dated March 25, 2024 of the Company's Supervisory Board.</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for 2023 according to Proposal No. 05/TTr - HDQT dated March 25, 2024 of the Company's Board of Directors.</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Profit distribution plan for 2023 and profit distribution plan for 2024 according to Proposal No. 06/TTr - HDQT dated March 25, 2024 of the Company's Board of Directors as follows:</w:t>
      </w:r>
    </w:p>
    <w:p w:rsidR="000B40CA" w:rsidRPr="00284444" w:rsidRDefault="00284444" w:rsidP="0073335F">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Plan on profit distribution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8"/>
        <w:gridCol w:w="4114"/>
        <w:gridCol w:w="1284"/>
        <w:gridCol w:w="1461"/>
        <w:gridCol w:w="1580"/>
      </w:tblGrid>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2023</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Results 2023 </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2.5</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4.15</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3.36</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funds</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Bonus for the Executive Board:</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0.15</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5</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Retained earnings after fund deduction</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1.21</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Retained earnings from previous year</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123.31</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retained earnings</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124.52</w:t>
            </w:r>
          </w:p>
        </w:tc>
      </w:tr>
      <w:tr w:rsidR="000B40CA" w:rsidRPr="00284444" w:rsidTr="00284444">
        <w:trPr>
          <w:jc w:val="center"/>
        </w:trPr>
        <w:tc>
          <w:tcPr>
            <w:tcW w:w="32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281"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 payment rate</w:t>
            </w:r>
          </w:p>
        </w:tc>
        <w:tc>
          <w:tcPr>
            <w:tcW w:w="71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81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76"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bl>
    <w:p w:rsidR="000B40CA" w:rsidRPr="00284444" w:rsidRDefault="00284444" w:rsidP="0073335F">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Profit and profit distribution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
        <w:gridCol w:w="4947"/>
        <w:gridCol w:w="1389"/>
        <w:gridCol w:w="2096"/>
      </w:tblGrid>
      <w:tr w:rsidR="000B40CA" w:rsidRPr="00284444" w:rsidTr="00284444">
        <w:tc>
          <w:tcPr>
            <w:tcW w:w="325"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74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Contents</w:t>
            </w:r>
          </w:p>
        </w:tc>
        <w:tc>
          <w:tcPr>
            <w:tcW w:w="77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Unit </w:t>
            </w:r>
          </w:p>
        </w:tc>
        <w:tc>
          <w:tcPr>
            <w:tcW w:w="116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2024</w:t>
            </w:r>
          </w:p>
        </w:tc>
      </w:tr>
      <w:tr w:rsidR="000B40CA" w:rsidRPr="00284444" w:rsidTr="00284444">
        <w:tc>
          <w:tcPr>
            <w:tcW w:w="325"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74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77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2.85</w:t>
            </w:r>
          </w:p>
        </w:tc>
      </w:tr>
      <w:tr w:rsidR="000B40CA" w:rsidRPr="00284444" w:rsidTr="00284444">
        <w:tc>
          <w:tcPr>
            <w:tcW w:w="325"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74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77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2.28</w:t>
            </w:r>
          </w:p>
        </w:tc>
      </w:tr>
      <w:tr w:rsidR="000B40CA" w:rsidRPr="00284444" w:rsidTr="00284444">
        <w:tc>
          <w:tcPr>
            <w:tcW w:w="325"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74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Payable to the State Budget</w:t>
            </w:r>
          </w:p>
        </w:tc>
        <w:tc>
          <w:tcPr>
            <w:tcW w:w="77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16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8.40</w:t>
            </w:r>
          </w:p>
        </w:tc>
      </w:tr>
      <w:tr w:rsidR="000B40CA" w:rsidRPr="00284444" w:rsidTr="00284444">
        <w:tc>
          <w:tcPr>
            <w:tcW w:w="325"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74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Dividend payout rate/charter capital </w:t>
            </w:r>
          </w:p>
        </w:tc>
        <w:tc>
          <w:tcPr>
            <w:tcW w:w="770"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162" w:type="pct"/>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bl>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settlement of salary and remuneration payment to the Board of Directors and Supervisory Board in 2023 and the plan for salary and remuneration payment to the Board of Directors and Supervisory Board in 2024 according to Proposal No. 07/TTr - HDQT dated March 25, 2024 of the Company's Board of Directors:</w:t>
      </w:r>
    </w:p>
    <w:p w:rsidR="000B40CA" w:rsidRPr="00284444" w:rsidRDefault="00284444" w:rsidP="0073335F">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Salary and remuneration payment to the Board of Directors and Supervisory Board in 2023. </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1"/>
        <w:tblW w:w="5000" w:type="pct"/>
        <w:tblLook w:val="0400" w:firstRow="0" w:lastRow="0" w:firstColumn="0" w:lastColumn="0" w:noHBand="0" w:noVBand="1"/>
      </w:tblPr>
      <w:tblGrid>
        <w:gridCol w:w="536"/>
        <w:gridCol w:w="2238"/>
        <w:gridCol w:w="1665"/>
        <w:gridCol w:w="1596"/>
        <w:gridCol w:w="1527"/>
        <w:gridCol w:w="1455"/>
      </w:tblGrid>
      <w:tr w:rsidR="000B40CA" w:rsidRPr="00284444" w:rsidTr="00284444">
        <w:tc>
          <w:tcPr>
            <w:tcW w:w="297"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241"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923"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885"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2023</w:t>
            </w:r>
          </w:p>
        </w:tc>
        <w:tc>
          <w:tcPr>
            <w:tcW w:w="165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2023</w:t>
            </w:r>
          </w:p>
        </w:tc>
      </w:tr>
      <w:tr w:rsidR="000B40CA" w:rsidRPr="00284444" w:rsidTr="00284444">
        <w:tc>
          <w:tcPr>
            <w:tcW w:w="297"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41"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23"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85"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4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w:t>
            </w:r>
          </w:p>
        </w:tc>
        <w:tc>
          <w:tcPr>
            <w:tcW w:w="8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w:t>
            </w:r>
          </w:p>
        </w:tc>
      </w:tr>
      <w:tr w:rsidR="000B40CA" w:rsidRPr="00284444" w:rsidTr="00284444">
        <w:tc>
          <w:tcPr>
            <w:tcW w:w="29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241"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Tuong Dinh</w:t>
            </w:r>
          </w:p>
        </w:tc>
        <w:tc>
          <w:tcPr>
            <w:tcW w:w="9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8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485,588,436</w:t>
            </w:r>
          </w:p>
        </w:tc>
        <w:tc>
          <w:tcPr>
            <w:tcW w:w="84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561,509,382</w:t>
            </w:r>
          </w:p>
        </w:tc>
        <w:tc>
          <w:tcPr>
            <w:tcW w:w="8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29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241"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Phuong Cao</w:t>
            </w:r>
          </w:p>
        </w:tc>
        <w:tc>
          <w:tcPr>
            <w:tcW w:w="9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 Manager</w:t>
            </w:r>
          </w:p>
        </w:tc>
        <w:tc>
          <w:tcPr>
            <w:tcW w:w="8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456,447,832</w:t>
            </w:r>
          </w:p>
        </w:tc>
        <w:tc>
          <w:tcPr>
            <w:tcW w:w="84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527,812,693</w:t>
            </w:r>
          </w:p>
        </w:tc>
        <w:tc>
          <w:tcPr>
            <w:tcW w:w="8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29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241"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 Dang Thuyet</w:t>
            </w:r>
          </w:p>
        </w:tc>
        <w:tc>
          <w:tcPr>
            <w:tcW w:w="9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Executive member of the Board of Directors</w:t>
            </w:r>
          </w:p>
        </w:tc>
        <w:tc>
          <w:tcPr>
            <w:tcW w:w="8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444,261,761</w:t>
            </w:r>
          </w:p>
        </w:tc>
        <w:tc>
          <w:tcPr>
            <w:tcW w:w="84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467,019,409</w:t>
            </w:r>
          </w:p>
        </w:tc>
        <w:tc>
          <w:tcPr>
            <w:tcW w:w="8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29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1241"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 Hong Hai</w:t>
            </w:r>
          </w:p>
        </w:tc>
        <w:tc>
          <w:tcPr>
            <w:tcW w:w="9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Non-executive member of the Board of Directors</w:t>
            </w:r>
          </w:p>
        </w:tc>
        <w:tc>
          <w:tcPr>
            <w:tcW w:w="8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72,000,000</w:t>
            </w:r>
          </w:p>
        </w:tc>
        <w:tc>
          <w:tcPr>
            <w:tcW w:w="84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72,000,000</w:t>
            </w:r>
          </w:p>
        </w:tc>
      </w:tr>
      <w:tr w:rsidR="000B40CA" w:rsidRPr="00284444" w:rsidTr="00284444">
        <w:tc>
          <w:tcPr>
            <w:tcW w:w="29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1241"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Vu Tuan Ngoc</w:t>
            </w:r>
          </w:p>
        </w:tc>
        <w:tc>
          <w:tcPr>
            <w:tcW w:w="9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Independent member</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of the Board of </w:t>
            </w:r>
            <w:r>
              <w:rPr>
                <w:rFonts w:ascii="Arial" w:hAnsi="Arial"/>
                <w:color w:val="010000"/>
                <w:sz w:val="20"/>
              </w:rPr>
              <w:lastRenderedPageBreak/>
              <w:t>Directors</w:t>
            </w:r>
          </w:p>
        </w:tc>
        <w:tc>
          <w:tcPr>
            <w:tcW w:w="8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72,000,000</w:t>
            </w:r>
          </w:p>
        </w:tc>
        <w:tc>
          <w:tcPr>
            <w:tcW w:w="84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72,000,000</w:t>
            </w:r>
          </w:p>
        </w:tc>
      </w:tr>
      <w:tr w:rsidR="000B40CA" w:rsidRPr="00284444" w:rsidTr="00284444">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6</w:t>
            </w:r>
          </w:p>
        </w:tc>
        <w:tc>
          <w:tcPr>
            <w:tcW w:w="12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 Duc Hoa</w:t>
            </w:r>
          </w:p>
        </w:tc>
        <w:tc>
          <w:tcPr>
            <w:tcW w:w="9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Executive Chief of the Supervisory Board</w:t>
            </w:r>
          </w:p>
        </w:tc>
        <w:tc>
          <w:tcPr>
            <w:tcW w:w="8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402,935,085</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423,575,743</w:t>
            </w:r>
          </w:p>
        </w:tc>
        <w:tc>
          <w:tcPr>
            <w:tcW w:w="8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12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Thi Anh Tuyet</w:t>
            </w:r>
          </w:p>
        </w:tc>
        <w:tc>
          <w:tcPr>
            <w:tcW w:w="9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Non-executive supervisor</w:t>
            </w:r>
          </w:p>
        </w:tc>
        <w:tc>
          <w:tcPr>
            <w:tcW w:w="8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36,000,000</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36,000,000</w:t>
            </w:r>
          </w:p>
        </w:tc>
      </w:tr>
      <w:tr w:rsidR="000B40CA" w:rsidRPr="00284444" w:rsidTr="00284444">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12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 Thi Huyen</w:t>
            </w:r>
          </w:p>
        </w:tc>
        <w:tc>
          <w:tcPr>
            <w:tcW w:w="9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Non-executive supervisor</w:t>
            </w:r>
          </w:p>
        </w:tc>
        <w:tc>
          <w:tcPr>
            <w:tcW w:w="8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36,000,000</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36,000,000</w:t>
            </w:r>
          </w:p>
        </w:tc>
      </w:tr>
      <w:tr w:rsidR="000B40CA" w:rsidRPr="00284444" w:rsidTr="00284444">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0B40CA" w:rsidP="0073335F">
            <w:pPr>
              <w:spacing w:after="120" w:line="360" w:lineRule="auto"/>
              <w:jc w:val="both"/>
              <w:rPr>
                <w:rFonts w:ascii="Arial" w:eastAsia="Arial" w:hAnsi="Arial" w:cs="Arial"/>
                <w:color w:val="010000"/>
                <w:sz w:val="20"/>
                <w:szCs w:val="20"/>
              </w:rPr>
            </w:pPr>
          </w:p>
        </w:tc>
        <w:tc>
          <w:tcPr>
            <w:tcW w:w="12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9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0B40CA" w:rsidP="0073335F">
            <w:pPr>
              <w:spacing w:after="120" w:line="360" w:lineRule="auto"/>
              <w:jc w:val="both"/>
              <w:rPr>
                <w:rFonts w:ascii="Arial" w:eastAsia="Arial" w:hAnsi="Arial" w:cs="Arial"/>
                <w:color w:val="010000"/>
                <w:sz w:val="20"/>
                <w:szCs w:val="20"/>
              </w:rPr>
            </w:pPr>
          </w:p>
        </w:tc>
        <w:tc>
          <w:tcPr>
            <w:tcW w:w="8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2,005,233,114</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1,979,917,227</w:t>
            </w:r>
          </w:p>
        </w:tc>
        <w:tc>
          <w:tcPr>
            <w:tcW w:w="8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216,000,000</w:t>
            </w:r>
          </w:p>
        </w:tc>
      </w:tr>
    </w:tbl>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Plan for salary and remuneration payment to the Board of Directors and Supervisory Board in 2024:</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Based on the production and business plan for 2024 presented at the General Meeting, the plan for salary and remuneration payment to the Board of Directors and Supervisory Board in 2024 is as follows:</w:t>
      </w:r>
    </w:p>
    <w:p w:rsidR="000B40CA" w:rsidRPr="00284444" w:rsidRDefault="00284444" w:rsidP="0073335F">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w:t>
      </w:r>
    </w:p>
    <w:p w:rsidR="000B40CA" w:rsidRPr="00284444" w:rsidRDefault="00284444" w:rsidP="0073335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Chair of the Board of Directors and executive members of the Board of Directors receive salaries according to the Company's Salary and Bonus Regulations.</w:t>
      </w:r>
    </w:p>
    <w:p w:rsidR="000B40CA" w:rsidRPr="00284444" w:rsidRDefault="00284444" w:rsidP="0073335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Non-executive members and Independent members of the Board of Directors:  VND 8,000,000 per month.</w:t>
      </w:r>
    </w:p>
    <w:p w:rsidR="000B40CA" w:rsidRPr="00284444" w:rsidRDefault="00284444" w:rsidP="0073335F">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Supervisory Board;</w:t>
      </w:r>
    </w:p>
    <w:p w:rsidR="000B40CA" w:rsidRPr="00284444" w:rsidRDefault="00284444" w:rsidP="0073335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executive Chief and executive Members (if any) receive salaries according to the Company's Salary and Bonus Regulations.</w:t>
      </w:r>
    </w:p>
    <w:p w:rsidR="000B40CA" w:rsidRPr="00284444" w:rsidRDefault="00284444" w:rsidP="0073335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Concurrent member VND 4,000,000 per month.</w:t>
      </w:r>
    </w:p>
    <w:p w:rsidR="000B40CA" w:rsidRPr="00284444" w:rsidRDefault="00284444" w:rsidP="0073335F">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plan for salary payment to the Board of Directors and Supervisory Board in 2024 is as follows:</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2"/>
        <w:tblW w:w="5000" w:type="pct"/>
        <w:tblLook w:val="0400" w:firstRow="0" w:lastRow="0" w:firstColumn="0" w:lastColumn="0" w:noHBand="0" w:noVBand="1"/>
      </w:tblPr>
      <w:tblGrid>
        <w:gridCol w:w="545"/>
        <w:gridCol w:w="3039"/>
        <w:gridCol w:w="914"/>
        <w:gridCol w:w="1502"/>
        <w:gridCol w:w="1484"/>
        <w:gridCol w:w="1533"/>
      </w:tblGrid>
      <w:tr w:rsidR="000B40CA" w:rsidRPr="00284444" w:rsidTr="00284444">
        <w:tc>
          <w:tcPr>
            <w:tcW w:w="302"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685"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507"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people</w:t>
            </w:r>
          </w:p>
        </w:tc>
        <w:tc>
          <w:tcPr>
            <w:tcW w:w="833" w:type="pct"/>
            <w:vMerge w:val="restar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amount:</w:t>
            </w:r>
          </w:p>
        </w:tc>
        <w:tc>
          <w:tcPr>
            <w:tcW w:w="167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tc>
      </w:tr>
      <w:tr w:rsidR="000B40CA" w:rsidRPr="00284444" w:rsidTr="00284444">
        <w:tc>
          <w:tcPr>
            <w:tcW w:w="302"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685"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07"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33" w:type="pct"/>
            <w:vMerge/>
            <w:tcBorders>
              <w:top w:val="single" w:sz="4" w:space="0" w:color="000000"/>
              <w:left w:val="single" w:sz="4" w:space="0" w:color="000000"/>
            </w:tcBorders>
            <w:shd w:val="clear" w:color="auto" w:fill="auto"/>
            <w:tcMar>
              <w:top w:w="0" w:type="dxa"/>
              <w:bottom w:w="0" w:type="dxa"/>
            </w:tcMar>
            <w:vAlign w:val="center"/>
          </w:tcPr>
          <w:p w:rsidR="000B40CA" w:rsidRPr="00284444" w:rsidRDefault="000B40CA" w:rsidP="007333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w:t>
            </w:r>
          </w:p>
        </w:tc>
      </w:tr>
      <w:tr w:rsidR="000B40CA" w:rsidRPr="00284444" w:rsidTr="00284444">
        <w:tc>
          <w:tcPr>
            <w:tcW w:w="302"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6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Chair of the Board of Directors:</w:t>
            </w:r>
          </w:p>
        </w:tc>
        <w:tc>
          <w:tcPr>
            <w:tcW w:w="50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3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485,007,758</w:t>
            </w: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485,007,758</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302"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6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Member of the Board of Directors -cum- Company Manager </w:t>
            </w:r>
          </w:p>
        </w:tc>
        <w:tc>
          <w:tcPr>
            <w:tcW w:w="50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3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455,902,002</w:t>
            </w: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455,902,002</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302"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6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Executive member of the Board of Directors</w:t>
            </w:r>
          </w:p>
        </w:tc>
        <w:tc>
          <w:tcPr>
            <w:tcW w:w="50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3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443,730,502</w:t>
            </w: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443,730,502</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302"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4</w:t>
            </w:r>
          </w:p>
        </w:tc>
        <w:tc>
          <w:tcPr>
            <w:tcW w:w="16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Non-executive member of the Board of Directors</w:t>
            </w:r>
          </w:p>
        </w:tc>
        <w:tc>
          <w:tcPr>
            <w:tcW w:w="50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3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96,000,000</w:t>
            </w: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96,000,000</w:t>
            </w:r>
          </w:p>
        </w:tc>
      </w:tr>
      <w:tr w:rsidR="000B40CA" w:rsidRPr="00284444" w:rsidTr="00284444">
        <w:tc>
          <w:tcPr>
            <w:tcW w:w="302"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16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Independent member of the Board of Directors</w:t>
            </w:r>
          </w:p>
        </w:tc>
        <w:tc>
          <w:tcPr>
            <w:tcW w:w="50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3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96,000,000</w:t>
            </w: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96,000,000</w:t>
            </w:r>
          </w:p>
        </w:tc>
      </w:tr>
      <w:tr w:rsidR="000B40CA" w:rsidRPr="00284444" w:rsidTr="00284444">
        <w:tc>
          <w:tcPr>
            <w:tcW w:w="302"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16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Executive Chief of the Supervisory Board</w:t>
            </w:r>
          </w:p>
        </w:tc>
        <w:tc>
          <w:tcPr>
            <w:tcW w:w="50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3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402,453,246</w:t>
            </w: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402,453,246</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0B40CA" w:rsidRPr="00284444" w:rsidTr="00284444">
        <w:tc>
          <w:tcPr>
            <w:tcW w:w="302"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1685"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Non-executive supervisor</w:t>
            </w:r>
          </w:p>
        </w:tc>
        <w:tc>
          <w:tcPr>
            <w:tcW w:w="507"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83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96,000,000</w:t>
            </w:r>
          </w:p>
        </w:tc>
        <w:tc>
          <w:tcPr>
            <w:tcW w:w="823" w:type="pct"/>
            <w:tcBorders>
              <w:top w:val="single" w:sz="4" w:space="0" w:color="000000"/>
              <w:lef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8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96,000,000</w:t>
            </w:r>
          </w:p>
        </w:tc>
      </w:tr>
      <w:tr w:rsidR="000B40CA" w:rsidRPr="00284444" w:rsidTr="00284444">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0B40CA" w:rsidP="0073335F">
            <w:pPr>
              <w:spacing w:after="120" w:line="360" w:lineRule="auto"/>
              <w:jc w:val="both"/>
              <w:rPr>
                <w:rFonts w:ascii="Arial" w:eastAsia="Arial" w:hAnsi="Arial" w:cs="Arial"/>
                <w:color w:val="010000"/>
                <w:sz w:val="20"/>
                <w:szCs w:val="20"/>
              </w:rPr>
            </w:pPr>
          </w:p>
        </w:tc>
        <w:tc>
          <w:tcPr>
            <w:tcW w:w="16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5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8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2,075,093,508</w:t>
            </w:r>
          </w:p>
        </w:tc>
        <w:tc>
          <w:tcPr>
            <w:tcW w:w="8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1,787,093,508</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288,000,000</w:t>
            </w:r>
          </w:p>
        </w:tc>
      </w:tr>
    </w:tbl>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the Proposal on selecting the audit company for Financial Statements and authorizing the Board of Directors to decide on the selection of an independent audit company to perform the following services: review the semi-annual Financial Statements and audit the Financial Statements for 2024 among the top audit companies in Vietnam (Deloitte, Ernst and Young, KPMG and PricewaterhouseCoopers) as proposed by the Company's Supervisory Board in Proposal No. 04/TTr - BKS dated March 25, 2024.</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the re-election result of Ms. To Thi Huyen as the Company's Supervisory Board member according to Proposal No. 08/TTr - HDQT dated April 23, 2024 of the Company's Board of Directors.</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This General Mandate takes effect from the date of its signing.</w:t>
      </w:r>
    </w:p>
    <w:p w:rsidR="000B40CA" w:rsidRPr="00284444" w:rsidRDefault="00284444" w:rsidP="0073335F">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10. Shareholders, the Board of Directors, the Supervisory Board, the Manager, and Deputy Managers of the Company are responsible for implementing this General Mandate according to their respective functions, tasks, and powers in accordance with the provisions of the Law and the Company's Charter.</w:t>
      </w:r>
    </w:p>
    <w:sectPr w:rsidR="000B40CA" w:rsidRPr="00284444" w:rsidSect="002844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AE1"/>
    <w:multiLevelType w:val="multilevel"/>
    <w:tmpl w:val="0012FE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684335"/>
    <w:multiLevelType w:val="multilevel"/>
    <w:tmpl w:val="2CAC20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904414"/>
    <w:multiLevelType w:val="multilevel"/>
    <w:tmpl w:val="9FFADA2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BC5FB8"/>
    <w:multiLevelType w:val="multilevel"/>
    <w:tmpl w:val="0F78E4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CA"/>
    <w:rsid w:val="000B40CA"/>
    <w:rsid w:val="00284444"/>
    <w:rsid w:val="0073335F"/>
    <w:rsid w:val="00A6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BDD596-41AA-46D6-BB51-88C1A63D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30"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XqtNmEMBzOyhvftpR5IeZDyutQ==">CgMxLjAyCGguZ2pkZ3hzOAByITFWVHZpSFhvZ2RiQzNSS1QxQnRlYVZSRUVqRXRFUE5uTw==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Company>Microsoft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2024-05-06T01:33:00Z</dcterms:created>
  <dcterms:modified xsi:type="dcterms:W3CDTF">2024-05-07T09:12:00Z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baa7f710d1767071db92aeca028a7631f8f3ca98e6730185bb01555fe45efc56</vt:lpwstr>
  </property>
</Properties>
</file>