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1E6BE"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S99: Annual General Mandate</w:t>
      </w:r>
    </w:p>
    <w:p w14:paraId="7C1DDF49"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On April 29, 2024, SCI Joint Stock Company announced General Mandate No. 01/2024/NQ-SCI-DHDCD as follows: </w:t>
      </w:r>
    </w:p>
    <w:p w14:paraId="210BF2AD"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the list of Presidium, the Vote Counting Committee, the Meeting agenda, Working Regulations of the Meeting.</w:t>
      </w:r>
    </w:p>
    <w:p w14:paraId="626993C3"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2: Approve the Report of the General Manager on production and business results in 2023 and the production and business plan 2024 according to the content of Proposal No. 01/2024/</w:t>
      </w:r>
      <w:proofErr w:type="spellStart"/>
      <w:r>
        <w:rPr>
          <w:rFonts w:ascii="Arial" w:hAnsi="Arial"/>
          <w:color w:val="010000"/>
          <w:sz w:val="20"/>
        </w:rPr>
        <w:t>TTr</w:t>
      </w:r>
      <w:proofErr w:type="spellEnd"/>
      <w:r>
        <w:rPr>
          <w:rFonts w:ascii="Arial" w:hAnsi="Arial"/>
          <w:color w:val="010000"/>
          <w:sz w:val="20"/>
        </w:rPr>
        <w:t>-SCI-HDQT.</w:t>
      </w:r>
    </w:p>
    <w:p w14:paraId="0756938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Production and business results in 2023</w:t>
      </w:r>
    </w:p>
    <w:p w14:paraId="1F668D45" w14:textId="77777777" w:rsidR="0026773C" w:rsidRPr="00217A6C" w:rsidRDefault="00217A6C" w:rsidP="00217A6C">
      <w:pPr>
        <w:pStyle w:val="ListParagraph"/>
        <w:numPr>
          <w:ilvl w:val="0"/>
          <w:numId w:val="8"/>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Pr>
          <w:rFonts w:ascii="Arial" w:hAnsi="Arial"/>
          <w:color w:val="010000"/>
          <w:sz w:val="20"/>
        </w:rPr>
        <w:t>Consolidated results of SCI.</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
        <w:gridCol w:w="3302"/>
        <w:gridCol w:w="835"/>
        <w:gridCol w:w="1414"/>
        <w:gridCol w:w="1419"/>
        <w:gridCol w:w="1472"/>
      </w:tblGrid>
      <w:tr w:rsidR="0026773C" w:rsidRPr="00217A6C" w14:paraId="36C7CB1B" w14:textId="77777777" w:rsidTr="00217A6C">
        <w:tc>
          <w:tcPr>
            <w:tcW w:w="319" w:type="pct"/>
            <w:shd w:val="clear" w:color="auto" w:fill="auto"/>
            <w:tcMar>
              <w:top w:w="0" w:type="dxa"/>
              <w:bottom w:w="0" w:type="dxa"/>
            </w:tcMar>
            <w:vAlign w:val="center"/>
          </w:tcPr>
          <w:p w14:paraId="3C4640C5"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831" w:type="pct"/>
            <w:shd w:val="clear" w:color="auto" w:fill="auto"/>
            <w:tcMar>
              <w:top w:w="0" w:type="dxa"/>
              <w:bottom w:w="0" w:type="dxa"/>
            </w:tcMar>
            <w:vAlign w:val="center"/>
          </w:tcPr>
          <w:p w14:paraId="6E2FA1F3"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463" w:type="pct"/>
            <w:shd w:val="clear" w:color="auto" w:fill="auto"/>
            <w:tcMar>
              <w:top w:w="0" w:type="dxa"/>
              <w:bottom w:w="0" w:type="dxa"/>
            </w:tcMar>
            <w:vAlign w:val="center"/>
          </w:tcPr>
          <w:p w14:paraId="3464E60F"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784" w:type="pct"/>
            <w:shd w:val="clear" w:color="auto" w:fill="auto"/>
            <w:tcMar>
              <w:top w:w="0" w:type="dxa"/>
              <w:bottom w:w="0" w:type="dxa"/>
            </w:tcMar>
            <w:vAlign w:val="center"/>
          </w:tcPr>
          <w:p w14:paraId="1DDA8DD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 xml:space="preserve">Plan 2023 </w:t>
            </w:r>
          </w:p>
        </w:tc>
        <w:tc>
          <w:tcPr>
            <w:tcW w:w="787" w:type="pct"/>
            <w:shd w:val="clear" w:color="auto" w:fill="auto"/>
            <w:tcMar>
              <w:top w:w="0" w:type="dxa"/>
              <w:bottom w:w="0" w:type="dxa"/>
            </w:tcMar>
            <w:vAlign w:val="center"/>
          </w:tcPr>
          <w:p w14:paraId="647F3F8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2023</w:t>
            </w:r>
          </w:p>
        </w:tc>
        <w:tc>
          <w:tcPr>
            <w:tcW w:w="816" w:type="pct"/>
            <w:shd w:val="clear" w:color="auto" w:fill="auto"/>
            <w:tcMar>
              <w:top w:w="0" w:type="dxa"/>
              <w:bottom w:w="0" w:type="dxa"/>
            </w:tcMar>
            <w:vAlign w:val="center"/>
          </w:tcPr>
          <w:p w14:paraId="00B4E52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Completion rate (%)</w:t>
            </w:r>
          </w:p>
        </w:tc>
      </w:tr>
      <w:tr w:rsidR="0026773C" w:rsidRPr="00217A6C" w14:paraId="16F8ECDD" w14:textId="77777777" w:rsidTr="00217A6C">
        <w:tc>
          <w:tcPr>
            <w:tcW w:w="319" w:type="pct"/>
            <w:shd w:val="clear" w:color="auto" w:fill="auto"/>
            <w:tcMar>
              <w:top w:w="0" w:type="dxa"/>
              <w:bottom w:w="0" w:type="dxa"/>
            </w:tcMar>
            <w:vAlign w:val="center"/>
          </w:tcPr>
          <w:p w14:paraId="29C79EA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1831" w:type="pct"/>
            <w:shd w:val="clear" w:color="auto" w:fill="auto"/>
            <w:tcMar>
              <w:top w:w="0" w:type="dxa"/>
              <w:bottom w:w="0" w:type="dxa"/>
            </w:tcMar>
            <w:vAlign w:val="center"/>
          </w:tcPr>
          <w:p w14:paraId="6A1E5BC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production and business value</w:t>
            </w:r>
          </w:p>
        </w:tc>
        <w:tc>
          <w:tcPr>
            <w:tcW w:w="463" w:type="pct"/>
            <w:shd w:val="clear" w:color="auto" w:fill="auto"/>
            <w:tcMar>
              <w:top w:w="0" w:type="dxa"/>
              <w:bottom w:w="0" w:type="dxa"/>
            </w:tcMar>
            <w:vAlign w:val="center"/>
          </w:tcPr>
          <w:p w14:paraId="29B4162C"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84" w:type="pct"/>
            <w:shd w:val="clear" w:color="auto" w:fill="auto"/>
            <w:tcMar>
              <w:top w:w="0" w:type="dxa"/>
              <w:bottom w:w="0" w:type="dxa"/>
            </w:tcMar>
            <w:vAlign w:val="center"/>
          </w:tcPr>
          <w:p w14:paraId="7CC35BE4"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2,459,601</w:t>
            </w:r>
          </w:p>
        </w:tc>
        <w:tc>
          <w:tcPr>
            <w:tcW w:w="787" w:type="pct"/>
            <w:shd w:val="clear" w:color="auto" w:fill="auto"/>
            <w:tcMar>
              <w:top w:w="0" w:type="dxa"/>
              <w:bottom w:w="0" w:type="dxa"/>
            </w:tcMar>
            <w:vAlign w:val="center"/>
          </w:tcPr>
          <w:p w14:paraId="6DA925B9"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1,818,100</w:t>
            </w:r>
          </w:p>
        </w:tc>
        <w:tc>
          <w:tcPr>
            <w:tcW w:w="816" w:type="pct"/>
            <w:shd w:val="clear" w:color="auto" w:fill="auto"/>
            <w:tcMar>
              <w:top w:w="0" w:type="dxa"/>
              <w:bottom w:w="0" w:type="dxa"/>
            </w:tcMar>
            <w:vAlign w:val="center"/>
          </w:tcPr>
          <w:p w14:paraId="0D1919A1"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73.92</w:t>
            </w:r>
          </w:p>
        </w:tc>
      </w:tr>
      <w:tr w:rsidR="0026773C" w:rsidRPr="00217A6C" w14:paraId="59611AF7" w14:textId="77777777" w:rsidTr="00217A6C">
        <w:tc>
          <w:tcPr>
            <w:tcW w:w="319" w:type="pct"/>
            <w:shd w:val="clear" w:color="auto" w:fill="auto"/>
            <w:tcMar>
              <w:top w:w="0" w:type="dxa"/>
              <w:bottom w:w="0" w:type="dxa"/>
            </w:tcMar>
            <w:vAlign w:val="center"/>
          </w:tcPr>
          <w:p w14:paraId="66A396AD"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1831" w:type="pct"/>
            <w:shd w:val="clear" w:color="auto" w:fill="auto"/>
            <w:tcMar>
              <w:top w:w="0" w:type="dxa"/>
              <w:bottom w:w="0" w:type="dxa"/>
            </w:tcMar>
            <w:vAlign w:val="center"/>
          </w:tcPr>
          <w:p w14:paraId="2CD85420"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investment value</w:t>
            </w:r>
          </w:p>
        </w:tc>
        <w:tc>
          <w:tcPr>
            <w:tcW w:w="463" w:type="pct"/>
            <w:shd w:val="clear" w:color="auto" w:fill="auto"/>
            <w:tcMar>
              <w:top w:w="0" w:type="dxa"/>
              <w:bottom w:w="0" w:type="dxa"/>
            </w:tcMar>
            <w:vAlign w:val="center"/>
          </w:tcPr>
          <w:p w14:paraId="02200AF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84" w:type="pct"/>
            <w:shd w:val="clear" w:color="auto" w:fill="auto"/>
            <w:tcMar>
              <w:top w:w="0" w:type="dxa"/>
              <w:bottom w:w="0" w:type="dxa"/>
            </w:tcMar>
            <w:vAlign w:val="center"/>
          </w:tcPr>
          <w:p w14:paraId="2251A08A"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488,052</w:t>
            </w:r>
          </w:p>
        </w:tc>
        <w:tc>
          <w:tcPr>
            <w:tcW w:w="787" w:type="pct"/>
            <w:shd w:val="clear" w:color="auto" w:fill="auto"/>
            <w:tcMar>
              <w:top w:w="0" w:type="dxa"/>
              <w:bottom w:w="0" w:type="dxa"/>
            </w:tcMar>
            <w:vAlign w:val="center"/>
          </w:tcPr>
          <w:p w14:paraId="30889CD0"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276,090</w:t>
            </w:r>
          </w:p>
        </w:tc>
        <w:tc>
          <w:tcPr>
            <w:tcW w:w="816" w:type="pct"/>
            <w:shd w:val="clear" w:color="auto" w:fill="auto"/>
            <w:tcMar>
              <w:top w:w="0" w:type="dxa"/>
              <w:bottom w:w="0" w:type="dxa"/>
            </w:tcMar>
            <w:vAlign w:val="center"/>
          </w:tcPr>
          <w:p w14:paraId="03F49768"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56.57</w:t>
            </w:r>
          </w:p>
        </w:tc>
      </w:tr>
      <w:tr w:rsidR="0026773C" w:rsidRPr="00217A6C" w14:paraId="072199BA" w14:textId="77777777" w:rsidTr="00217A6C">
        <w:tc>
          <w:tcPr>
            <w:tcW w:w="319" w:type="pct"/>
            <w:shd w:val="clear" w:color="auto" w:fill="auto"/>
            <w:tcMar>
              <w:top w:w="0" w:type="dxa"/>
              <w:bottom w:w="0" w:type="dxa"/>
            </w:tcMar>
            <w:vAlign w:val="center"/>
          </w:tcPr>
          <w:p w14:paraId="7D5459AE"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1831" w:type="pct"/>
            <w:shd w:val="clear" w:color="auto" w:fill="auto"/>
            <w:tcMar>
              <w:top w:w="0" w:type="dxa"/>
              <w:bottom w:w="0" w:type="dxa"/>
            </w:tcMar>
            <w:vAlign w:val="center"/>
          </w:tcPr>
          <w:p w14:paraId="2801744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Consolidated revenue</w:t>
            </w:r>
          </w:p>
        </w:tc>
        <w:tc>
          <w:tcPr>
            <w:tcW w:w="463" w:type="pct"/>
            <w:shd w:val="clear" w:color="auto" w:fill="auto"/>
            <w:tcMar>
              <w:top w:w="0" w:type="dxa"/>
              <w:bottom w:w="0" w:type="dxa"/>
            </w:tcMar>
            <w:vAlign w:val="center"/>
          </w:tcPr>
          <w:p w14:paraId="5AD5A7D2"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84" w:type="pct"/>
            <w:shd w:val="clear" w:color="auto" w:fill="auto"/>
            <w:tcMar>
              <w:top w:w="0" w:type="dxa"/>
              <w:bottom w:w="0" w:type="dxa"/>
            </w:tcMar>
            <w:vAlign w:val="center"/>
          </w:tcPr>
          <w:p w14:paraId="519404B2"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2,389,804</w:t>
            </w:r>
          </w:p>
        </w:tc>
        <w:tc>
          <w:tcPr>
            <w:tcW w:w="787" w:type="pct"/>
            <w:shd w:val="clear" w:color="auto" w:fill="auto"/>
            <w:tcMar>
              <w:top w:w="0" w:type="dxa"/>
              <w:bottom w:w="0" w:type="dxa"/>
            </w:tcMar>
            <w:vAlign w:val="center"/>
          </w:tcPr>
          <w:p w14:paraId="3684FF99"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1,721,200</w:t>
            </w:r>
          </w:p>
        </w:tc>
        <w:tc>
          <w:tcPr>
            <w:tcW w:w="816" w:type="pct"/>
            <w:shd w:val="clear" w:color="auto" w:fill="auto"/>
            <w:tcMar>
              <w:top w:w="0" w:type="dxa"/>
              <w:bottom w:w="0" w:type="dxa"/>
            </w:tcMar>
            <w:vAlign w:val="center"/>
          </w:tcPr>
          <w:p w14:paraId="274E6FBE"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72.02</w:t>
            </w:r>
          </w:p>
        </w:tc>
      </w:tr>
      <w:tr w:rsidR="0026773C" w:rsidRPr="00217A6C" w14:paraId="25768DFE" w14:textId="77777777" w:rsidTr="00217A6C">
        <w:tc>
          <w:tcPr>
            <w:tcW w:w="319" w:type="pct"/>
            <w:shd w:val="clear" w:color="auto" w:fill="auto"/>
            <w:tcMar>
              <w:top w:w="0" w:type="dxa"/>
              <w:bottom w:w="0" w:type="dxa"/>
            </w:tcMar>
            <w:vAlign w:val="center"/>
          </w:tcPr>
          <w:p w14:paraId="2F1335E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1831" w:type="pct"/>
            <w:shd w:val="clear" w:color="auto" w:fill="auto"/>
            <w:tcMar>
              <w:top w:w="0" w:type="dxa"/>
              <w:bottom w:w="0" w:type="dxa"/>
            </w:tcMar>
            <w:vAlign w:val="center"/>
          </w:tcPr>
          <w:p w14:paraId="0F07EE1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Consolidated profit before tax</w:t>
            </w:r>
          </w:p>
        </w:tc>
        <w:tc>
          <w:tcPr>
            <w:tcW w:w="463" w:type="pct"/>
            <w:shd w:val="clear" w:color="auto" w:fill="auto"/>
            <w:tcMar>
              <w:top w:w="0" w:type="dxa"/>
              <w:bottom w:w="0" w:type="dxa"/>
            </w:tcMar>
            <w:vAlign w:val="center"/>
          </w:tcPr>
          <w:p w14:paraId="3E466012"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84" w:type="pct"/>
            <w:shd w:val="clear" w:color="auto" w:fill="auto"/>
            <w:tcMar>
              <w:top w:w="0" w:type="dxa"/>
              <w:bottom w:w="0" w:type="dxa"/>
            </w:tcMar>
            <w:vAlign w:val="center"/>
          </w:tcPr>
          <w:p w14:paraId="2CE05959"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89,915</w:t>
            </w:r>
          </w:p>
        </w:tc>
        <w:tc>
          <w:tcPr>
            <w:tcW w:w="787" w:type="pct"/>
            <w:shd w:val="clear" w:color="auto" w:fill="auto"/>
            <w:tcMar>
              <w:top w:w="0" w:type="dxa"/>
              <w:bottom w:w="0" w:type="dxa"/>
            </w:tcMar>
            <w:vAlign w:val="center"/>
          </w:tcPr>
          <w:p w14:paraId="35D077C3"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123,601</w:t>
            </w:r>
          </w:p>
        </w:tc>
        <w:tc>
          <w:tcPr>
            <w:tcW w:w="816" w:type="pct"/>
            <w:shd w:val="clear" w:color="auto" w:fill="auto"/>
            <w:tcMar>
              <w:top w:w="0" w:type="dxa"/>
              <w:bottom w:w="0" w:type="dxa"/>
            </w:tcMar>
            <w:vAlign w:val="center"/>
          </w:tcPr>
          <w:p w14:paraId="198F31CF"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137.46</w:t>
            </w:r>
          </w:p>
        </w:tc>
      </w:tr>
    </w:tbl>
    <w:p w14:paraId="5032212A" w14:textId="77777777" w:rsidR="0026773C" w:rsidRPr="00217A6C" w:rsidRDefault="00217A6C" w:rsidP="00217A6C">
      <w:pPr>
        <w:pStyle w:val="ListParagraph"/>
        <w:numPr>
          <w:ilvl w:val="0"/>
          <w:numId w:val="8"/>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Pr>
          <w:rFonts w:ascii="Arial" w:hAnsi="Arial"/>
          <w:color w:val="010000"/>
          <w:sz w:val="20"/>
        </w:rPr>
        <w:t>Separate results of the Holding Company.</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
        <w:gridCol w:w="3304"/>
        <w:gridCol w:w="835"/>
        <w:gridCol w:w="1430"/>
        <w:gridCol w:w="1414"/>
        <w:gridCol w:w="1459"/>
      </w:tblGrid>
      <w:tr w:rsidR="0026773C" w:rsidRPr="00217A6C" w14:paraId="7ACB71C8" w14:textId="77777777" w:rsidTr="00217A6C">
        <w:tc>
          <w:tcPr>
            <w:tcW w:w="319" w:type="pct"/>
            <w:shd w:val="clear" w:color="auto" w:fill="auto"/>
            <w:tcMar>
              <w:top w:w="0" w:type="dxa"/>
              <w:bottom w:w="0" w:type="dxa"/>
            </w:tcMar>
            <w:vAlign w:val="center"/>
          </w:tcPr>
          <w:p w14:paraId="2E2F2492"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832" w:type="pct"/>
            <w:shd w:val="clear" w:color="auto" w:fill="auto"/>
            <w:tcMar>
              <w:top w:w="0" w:type="dxa"/>
              <w:bottom w:w="0" w:type="dxa"/>
            </w:tcMar>
            <w:vAlign w:val="center"/>
          </w:tcPr>
          <w:p w14:paraId="619AC67C"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463" w:type="pct"/>
            <w:shd w:val="clear" w:color="auto" w:fill="auto"/>
            <w:tcMar>
              <w:top w:w="0" w:type="dxa"/>
              <w:bottom w:w="0" w:type="dxa"/>
            </w:tcMar>
            <w:vAlign w:val="center"/>
          </w:tcPr>
          <w:p w14:paraId="09BD6DE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793" w:type="pct"/>
            <w:shd w:val="clear" w:color="auto" w:fill="auto"/>
            <w:tcMar>
              <w:top w:w="0" w:type="dxa"/>
              <w:bottom w:w="0" w:type="dxa"/>
            </w:tcMar>
            <w:vAlign w:val="center"/>
          </w:tcPr>
          <w:p w14:paraId="432DC4C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Plan 2023</w:t>
            </w:r>
          </w:p>
        </w:tc>
        <w:tc>
          <w:tcPr>
            <w:tcW w:w="784" w:type="pct"/>
            <w:shd w:val="clear" w:color="auto" w:fill="auto"/>
            <w:tcMar>
              <w:top w:w="0" w:type="dxa"/>
              <w:bottom w:w="0" w:type="dxa"/>
            </w:tcMar>
            <w:vAlign w:val="center"/>
          </w:tcPr>
          <w:p w14:paraId="4DE2F74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2023</w:t>
            </w:r>
          </w:p>
        </w:tc>
        <w:tc>
          <w:tcPr>
            <w:tcW w:w="809" w:type="pct"/>
            <w:shd w:val="clear" w:color="auto" w:fill="auto"/>
            <w:tcMar>
              <w:top w:w="0" w:type="dxa"/>
              <w:bottom w:w="0" w:type="dxa"/>
            </w:tcMar>
            <w:vAlign w:val="center"/>
          </w:tcPr>
          <w:p w14:paraId="1735821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Completion rate (%)</w:t>
            </w:r>
          </w:p>
        </w:tc>
      </w:tr>
      <w:tr w:rsidR="0026773C" w:rsidRPr="00217A6C" w14:paraId="36EA70FA" w14:textId="77777777" w:rsidTr="00217A6C">
        <w:tc>
          <w:tcPr>
            <w:tcW w:w="319" w:type="pct"/>
            <w:shd w:val="clear" w:color="auto" w:fill="auto"/>
            <w:tcMar>
              <w:top w:w="0" w:type="dxa"/>
              <w:bottom w:w="0" w:type="dxa"/>
            </w:tcMar>
            <w:vAlign w:val="center"/>
          </w:tcPr>
          <w:p w14:paraId="69D8FAEB"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1832" w:type="pct"/>
            <w:shd w:val="clear" w:color="auto" w:fill="auto"/>
            <w:tcMar>
              <w:top w:w="0" w:type="dxa"/>
              <w:bottom w:w="0" w:type="dxa"/>
            </w:tcMar>
            <w:vAlign w:val="center"/>
          </w:tcPr>
          <w:p w14:paraId="441EED8D"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production and business value</w:t>
            </w:r>
          </w:p>
        </w:tc>
        <w:tc>
          <w:tcPr>
            <w:tcW w:w="463" w:type="pct"/>
            <w:shd w:val="clear" w:color="auto" w:fill="auto"/>
            <w:tcMar>
              <w:top w:w="0" w:type="dxa"/>
              <w:bottom w:w="0" w:type="dxa"/>
            </w:tcMar>
            <w:vAlign w:val="center"/>
          </w:tcPr>
          <w:p w14:paraId="718C0E70"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93" w:type="pct"/>
            <w:shd w:val="clear" w:color="auto" w:fill="auto"/>
            <w:tcMar>
              <w:top w:w="0" w:type="dxa"/>
              <w:bottom w:w="0" w:type="dxa"/>
            </w:tcMar>
            <w:vAlign w:val="center"/>
          </w:tcPr>
          <w:p w14:paraId="2512E530"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1,275,967</w:t>
            </w:r>
          </w:p>
        </w:tc>
        <w:tc>
          <w:tcPr>
            <w:tcW w:w="784" w:type="pct"/>
            <w:shd w:val="clear" w:color="auto" w:fill="auto"/>
            <w:tcMar>
              <w:top w:w="0" w:type="dxa"/>
              <w:bottom w:w="0" w:type="dxa"/>
            </w:tcMar>
            <w:vAlign w:val="center"/>
          </w:tcPr>
          <w:p w14:paraId="60EF17B6"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1,232,000</w:t>
            </w:r>
          </w:p>
        </w:tc>
        <w:tc>
          <w:tcPr>
            <w:tcW w:w="809" w:type="pct"/>
            <w:shd w:val="clear" w:color="auto" w:fill="auto"/>
            <w:tcMar>
              <w:top w:w="0" w:type="dxa"/>
              <w:bottom w:w="0" w:type="dxa"/>
            </w:tcMar>
            <w:vAlign w:val="center"/>
          </w:tcPr>
          <w:p w14:paraId="4F6D8093"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96.55</w:t>
            </w:r>
          </w:p>
        </w:tc>
      </w:tr>
      <w:tr w:rsidR="0026773C" w:rsidRPr="00217A6C" w14:paraId="4F082358" w14:textId="77777777" w:rsidTr="00217A6C">
        <w:tc>
          <w:tcPr>
            <w:tcW w:w="319" w:type="pct"/>
            <w:shd w:val="clear" w:color="auto" w:fill="auto"/>
            <w:tcMar>
              <w:top w:w="0" w:type="dxa"/>
              <w:bottom w:w="0" w:type="dxa"/>
            </w:tcMar>
            <w:vAlign w:val="center"/>
          </w:tcPr>
          <w:p w14:paraId="5AFCFE0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1832" w:type="pct"/>
            <w:shd w:val="clear" w:color="auto" w:fill="auto"/>
            <w:tcMar>
              <w:top w:w="0" w:type="dxa"/>
              <w:bottom w:w="0" w:type="dxa"/>
            </w:tcMar>
            <w:vAlign w:val="center"/>
          </w:tcPr>
          <w:p w14:paraId="36AA899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investment value</w:t>
            </w:r>
          </w:p>
        </w:tc>
        <w:tc>
          <w:tcPr>
            <w:tcW w:w="463" w:type="pct"/>
            <w:shd w:val="clear" w:color="auto" w:fill="auto"/>
            <w:tcMar>
              <w:top w:w="0" w:type="dxa"/>
              <w:bottom w:w="0" w:type="dxa"/>
            </w:tcMar>
            <w:vAlign w:val="center"/>
          </w:tcPr>
          <w:p w14:paraId="476D5C64"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93" w:type="pct"/>
            <w:shd w:val="clear" w:color="auto" w:fill="auto"/>
            <w:tcMar>
              <w:top w:w="0" w:type="dxa"/>
              <w:bottom w:w="0" w:type="dxa"/>
            </w:tcMar>
            <w:vAlign w:val="center"/>
          </w:tcPr>
          <w:p w14:paraId="497E4FCE"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150,000</w:t>
            </w:r>
          </w:p>
        </w:tc>
        <w:tc>
          <w:tcPr>
            <w:tcW w:w="784" w:type="pct"/>
            <w:shd w:val="clear" w:color="auto" w:fill="auto"/>
            <w:tcMar>
              <w:top w:w="0" w:type="dxa"/>
              <w:bottom w:w="0" w:type="dxa"/>
            </w:tcMar>
            <w:vAlign w:val="center"/>
          </w:tcPr>
          <w:p w14:paraId="0DC865C2" w14:textId="77777777" w:rsidR="0026773C" w:rsidRPr="00217A6C" w:rsidRDefault="0026773C" w:rsidP="00217A6C">
            <w:pPr>
              <w:spacing w:after="120" w:line="360" w:lineRule="auto"/>
              <w:jc w:val="right"/>
              <w:rPr>
                <w:rFonts w:ascii="Arial" w:eastAsia="Arial" w:hAnsi="Arial" w:cs="Arial"/>
                <w:color w:val="010000"/>
                <w:sz w:val="20"/>
                <w:szCs w:val="20"/>
              </w:rPr>
            </w:pPr>
          </w:p>
        </w:tc>
        <w:tc>
          <w:tcPr>
            <w:tcW w:w="809" w:type="pct"/>
            <w:shd w:val="clear" w:color="auto" w:fill="auto"/>
            <w:tcMar>
              <w:top w:w="0" w:type="dxa"/>
              <w:bottom w:w="0" w:type="dxa"/>
            </w:tcMar>
            <w:vAlign w:val="center"/>
          </w:tcPr>
          <w:p w14:paraId="5BF487BC"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w:t>
            </w:r>
          </w:p>
        </w:tc>
      </w:tr>
      <w:tr w:rsidR="0026773C" w:rsidRPr="00217A6C" w14:paraId="4290D6CB" w14:textId="77777777" w:rsidTr="00217A6C">
        <w:tc>
          <w:tcPr>
            <w:tcW w:w="319" w:type="pct"/>
            <w:shd w:val="clear" w:color="auto" w:fill="auto"/>
            <w:tcMar>
              <w:top w:w="0" w:type="dxa"/>
              <w:bottom w:w="0" w:type="dxa"/>
            </w:tcMar>
            <w:vAlign w:val="center"/>
          </w:tcPr>
          <w:p w14:paraId="0640BDF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1832" w:type="pct"/>
            <w:shd w:val="clear" w:color="auto" w:fill="auto"/>
            <w:tcMar>
              <w:top w:w="0" w:type="dxa"/>
              <w:bottom w:w="0" w:type="dxa"/>
            </w:tcMar>
            <w:vAlign w:val="center"/>
          </w:tcPr>
          <w:p w14:paraId="7CC45BC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revenue</w:t>
            </w:r>
          </w:p>
        </w:tc>
        <w:tc>
          <w:tcPr>
            <w:tcW w:w="463" w:type="pct"/>
            <w:shd w:val="clear" w:color="auto" w:fill="auto"/>
            <w:tcMar>
              <w:top w:w="0" w:type="dxa"/>
              <w:bottom w:w="0" w:type="dxa"/>
            </w:tcMar>
            <w:vAlign w:val="center"/>
          </w:tcPr>
          <w:p w14:paraId="14020A8F"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93" w:type="pct"/>
            <w:shd w:val="clear" w:color="auto" w:fill="auto"/>
            <w:tcMar>
              <w:top w:w="0" w:type="dxa"/>
              <w:bottom w:w="0" w:type="dxa"/>
            </w:tcMar>
            <w:vAlign w:val="center"/>
          </w:tcPr>
          <w:p w14:paraId="2D5BD004"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1,288,322</w:t>
            </w:r>
          </w:p>
        </w:tc>
        <w:tc>
          <w:tcPr>
            <w:tcW w:w="784" w:type="pct"/>
            <w:shd w:val="clear" w:color="auto" w:fill="auto"/>
            <w:tcMar>
              <w:top w:w="0" w:type="dxa"/>
              <w:bottom w:w="0" w:type="dxa"/>
            </w:tcMar>
            <w:vAlign w:val="center"/>
          </w:tcPr>
          <w:p w14:paraId="3647E88B"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1,422,000</w:t>
            </w:r>
          </w:p>
        </w:tc>
        <w:tc>
          <w:tcPr>
            <w:tcW w:w="809" w:type="pct"/>
            <w:shd w:val="clear" w:color="auto" w:fill="auto"/>
            <w:tcMar>
              <w:top w:w="0" w:type="dxa"/>
              <w:bottom w:w="0" w:type="dxa"/>
            </w:tcMar>
            <w:vAlign w:val="center"/>
          </w:tcPr>
          <w:p w14:paraId="7FB0F415"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110.38</w:t>
            </w:r>
          </w:p>
        </w:tc>
      </w:tr>
      <w:tr w:rsidR="0026773C" w:rsidRPr="00217A6C" w14:paraId="3F315294" w14:textId="77777777" w:rsidTr="00217A6C">
        <w:tc>
          <w:tcPr>
            <w:tcW w:w="319" w:type="pct"/>
            <w:shd w:val="clear" w:color="auto" w:fill="auto"/>
            <w:tcMar>
              <w:top w:w="0" w:type="dxa"/>
              <w:bottom w:w="0" w:type="dxa"/>
            </w:tcMar>
            <w:vAlign w:val="center"/>
          </w:tcPr>
          <w:p w14:paraId="498D0BAD"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1832" w:type="pct"/>
            <w:shd w:val="clear" w:color="auto" w:fill="auto"/>
            <w:tcMar>
              <w:top w:w="0" w:type="dxa"/>
              <w:bottom w:w="0" w:type="dxa"/>
            </w:tcMar>
            <w:vAlign w:val="center"/>
          </w:tcPr>
          <w:p w14:paraId="4305D532"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463" w:type="pct"/>
            <w:shd w:val="clear" w:color="auto" w:fill="auto"/>
            <w:tcMar>
              <w:top w:w="0" w:type="dxa"/>
              <w:bottom w:w="0" w:type="dxa"/>
            </w:tcMar>
            <w:vAlign w:val="center"/>
          </w:tcPr>
          <w:p w14:paraId="51D0C7D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793" w:type="pct"/>
            <w:shd w:val="clear" w:color="auto" w:fill="auto"/>
            <w:tcMar>
              <w:top w:w="0" w:type="dxa"/>
              <w:bottom w:w="0" w:type="dxa"/>
            </w:tcMar>
            <w:vAlign w:val="center"/>
          </w:tcPr>
          <w:p w14:paraId="518F536E"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49,506</w:t>
            </w:r>
          </w:p>
        </w:tc>
        <w:tc>
          <w:tcPr>
            <w:tcW w:w="784" w:type="pct"/>
            <w:shd w:val="clear" w:color="auto" w:fill="auto"/>
            <w:tcMar>
              <w:top w:w="0" w:type="dxa"/>
              <w:bottom w:w="0" w:type="dxa"/>
            </w:tcMar>
            <w:vAlign w:val="center"/>
          </w:tcPr>
          <w:p w14:paraId="02807204"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145,839</w:t>
            </w:r>
          </w:p>
        </w:tc>
        <w:tc>
          <w:tcPr>
            <w:tcW w:w="809" w:type="pct"/>
            <w:shd w:val="clear" w:color="auto" w:fill="auto"/>
            <w:tcMar>
              <w:top w:w="0" w:type="dxa"/>
              <w:bottom w:w="0" w:type="dxa"/>
            </w:tcMar>
            <w:vAlign w:val="center"/>
          </w:tcPr>
          <w:p w14:paraId="14A2A8C5"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294.59</w:t>
            </w:r>
          </w:p>
        </w:tc>
      </w:tr>
      <w:tr w:rsidR="0026773C" w:rsidRPr="00217A6C" w14:paraId="3AC367BC" w14:textId="77777777" w:rsidTr="00217A6C">
        <w:tc>
          <w:tcPr>
            <w:tcW w:w="319" w:type="pct"/>
            <w:shd w:val="clear" w:color="auto" w:fill="auto"/>
            <w:tcMar>
              <w:top w:w="0" w:type="dxa"/>
              <w:bottom w:w="0" w:type="dxa"/>
            </w:tcMar>
            <w:vAlign w:val="center"/>
          </w:tcPr>
          <w:p w14:paraId="6239CD6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1832" w:type="pct"/>
            <w:shd w:val="clear" w:color="auto" w:fill="auto"/>
            <w:tcMar>
              <w:top w:w="0" w:type="dxa"/>
              <w:bottom w:w="0" w:type="dxa"/>
            </w:tcMar>
            <w:vAlign w:val="center"/>
          </w:tcPr>
          <w:p w14:paraId="5E8A003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payment</w:t>
            </w:r>
          </w:p>
        </w:tc>
        <w:tc>
          <w:tcPr>
            <w:tcW w:w="463" w:type="pct"/>
            <w:shd w:val="clear" w:color="auto" w:fill="auto"/>
            <w:tcMar>
              <w:top w:w="0" w:type="dxa"/>
              <w:bottom w:w="0" w:type="dxa"/>
            </w:tcMar>
            <w:vAlign w:val="center"/>
          </w:tcPr>
          <w:p w14:paraId="6F3764B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793" w:type="pct"/>
            <w:shd w:val="clear" w:color="auto" w:fill="auto"/>
            <w:tcMar>
              <w:top w:w="0" w:type="dxa"/>
              <w:bottom w:w="0" w:type="dxa"/>
            </w:tcMar>
            <w:vAlign w:val="center"/>
          </w:tcPr>
          <w:p w14:paraId="3B1EE046"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10</w:t>
            </w:r>
          </w:p>
        </w:tc>
        <w:tc>
          <w:tcPr>
            <w:tcW w:w="784" w:type="pct"/>
            <w:shd w:val="clear" w:color="auto" w:fill="auto"/>
            <w:tcMar>
              <w:top w:w="0" w:type="dxa"/>
              <w:bottom w:w="0" w:type="dxa"/>
            </w:tcMar>
            <w:vAlign w:val="center"/>
          </w:tcPr>
          <w:p w14:paraId="2A8EAE94"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5.0</w:t>
            </w:r>
          </w:p>
        </w:tc>
        <w:tc>
          <w:tcPr>
            <w:tcW w:w="809" w:type="pct"/>
            <w:shd w:val="clear" w:color="auto" w:fill="auto"/>
            <w:tcMar>
              <w:top w:w="0" w:type="dxa"/>
              <w:bottom w:w="0" w:type="dxa"/>
            </w:tcMar>
            <w:vAlign w:val="center"/>
          </w:tcPr>
          <w:p w14:paraId="3ECC32BE" w14:textId="77777777" w:rsidR="0026773C" w:rsidRPr="00217A6C" w:rsidRDefault="0026773C" w:rsidP="00217A6C">
            <w:pPr>
              <w:spacing w:after="120" w:line="360" w:lineRule="auto"/>
              <w:jc w:val="right"/>
              <w:rPr>
                <w:rFonts w:ascii="Arial" w:eastAsia="Arial" w:hAnsi="Arial" w:cs="Arial"/>
                <w:color w:val="010000"/>
                <w:sz w:val="20"/>
                <w:szCs w:val="20"/>
              </w:rPr>
            </w:pPr>
          </w:p>
        </w:tc>
      </w:tr>
    </w:tbl>
    <w:p w14:paraId="756F606D"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Production and business plan 2024</w:t>
      </w:r>
    </w:p>
    <w:p w14:paraId="4CD31A3A" w14:textId="77777777" w:rsidR="0026773C" w:rsidRPr="00217A6C" w:rsidRDefault="0026773C" w:rsidP="00217A6C">
      <w:pPr>
        <w:numPr>
          <w:ilvl w:val="0"/>
          <w:numId w:val="2"/>
        </w:numPr>
        <w:pBdr>
          <w:top w:val="nil"/>
          <w:left w:val="nil"/>
          <w:bottom w:val="nil"/>
          <w:right w:val="nil"/>
          <w:between w:val="nil"/>
        </w:pBdr>
        <w:tabs>
          <w:tab w:val="left" w:pos="535"/>
        </w:tabs>
        <w:spacing w:after="120" w:line="360" w:lineRule="auto"/>
        <w:rPr>
          <w:rFonts w:ascii="Arial" w:eastAsia="Arial" w:hAnsi="Arial" w:cs="Arial"/>
          <w:color w:val="010000"/>
          <w:sz w:val="20"/>
          <w:szCs w:val="20"/>
        </w:rPr>
      </w:pPr>
    </w:p>
    <w:tbl>
      <w:tblPr>
        <w:tblStyle w:val="a1"/>
        <w:tblW w:w="5000" w:type="pct"/>
        <w:tblLook w:val="0400" w:firstRow="0" w:lastRow="0" w:firstColumn="0" w:lastColumn="0" w:noHBand="0" w:noVBand="1"/>
      </w:tblPr>
      <w:tblGrid>
        <w:gridCol w:w="709"/>
        <w:gridCol w:w="3731"/>
        <w:gridCol w:w="992"/>
        <w:gridCol w:w="1839"/>
        <w:gridCol w:w="1746"/>
      </w:tblGrid>
      <w:tr w:rsidR="0026773C" w:rsidRPr="00217A6C" w14:paraId="2A5DF997" w14:textId="77777777" w:rsidTr="00217A6C">
        <w:tc>
          <w:tcPr>
            <w:tcW w:w="393" w:type="pct"/>
            <w:vMerge w:val="restart"/>
            <w:tcBorders>
              <w:top w:val="single" w:sz="4" w:space="0" w:color="000000"/>
              <w:left w:val="single" w:sz="4" w:space="0" w:color="000000"/>
            </w:tcBorders>
            <w:shd w:val="clear" w:color="auto" w:fill="auto"/>
            <w:tcMar>
              <w:top w:w="0" w:type="dxa"/>
              <w:bottom w:w="0" w:type="dxa"/>
            </w:tcMar>
            <w:vAlign w:val="center"/>
          </w:tcPr>
          <w:p w14:paraId="59A1FACF"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069" w:type="pct"/>
            <w:vMerge w:val="restart"/>
            <w:tcBorders>
              <w:top w:val="single" w:sz="4" w:space="0" w:color="000000"/>
              <w:left w:val="single" w:sz="4" w:space="0" w:color="000000"/>
            </w:tcBorders>
            <w:shd w:val="clear" w:color="auto" w:fill="auto"/>
            <w:tcMar>
              <w:top w:w="0" w:type="dxa"/>
              <w:bottom w:w="0" w:type="dxa"/>
            </w:tcMar>
            <w:vAlign w:val="center"/>
          </w:tcPr>
          <w:p w14:paraId="361FCBF0"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Content</w:t>
            </w:r>
          </w:p>
        </w:tc>
        <w:tc>
          <w:tcPr>
            <w:tcW w:w="550" w:type="pct"/>
            <w:vMerge w:val="restart"/>
            <w:tcBorders>
              <w:top w:val="single" w:sz="4" w:space="0" w:color="000000"/>
              <w:left w:val="single" w:sz="4" w:space="0" w:color="000000"/>
            </w:tcBorders>
            <w:shd w:val="clear" w:color="auto" w:fill="auto"/>
            <w:tcMar>
              <w:top w:w="0" w:type="dxa"/>
              <w:bottom w:w="0" w:type="dxa"/>
            </w:tcMar>
            <w:vAlign w:val="center"/>
          </w:tcPr>
          <w:p w14:paraId="7CDF8FE0"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1988"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279F6E7A"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Plan 2024</w:t>
            </w:r>
          </w:p>
        </w:tc>
      </w:tr>
      <w:tr w:rsidR="0026773C" w:rsidRPr="00217A6C" w14:paraId="562BC582" w14:textId="77777777" w:rsidTr="00217A6C">
        <w:tc>
          <w:tcPr>
            <w:tcW w:w="393" w:type="pct"/>
            <w:vMerge/>
            <w:tcBorders>
              <w:top w:val="single" w:sz="4" w:space="0" w:color="000000"/>
              <w:left w:val="single" w:sz="4" w:space="0" w:color="000000"/>
            </w:tcBorders>
            <w:shd w:val="clear" w:color="auto" w:fill="auto"/>
            <w:tcMar>
              <w:top w:w="0" w:type="dxa"/>
              <w:bottom w:w="0" w:type="dxa"/>
            </w:tcMar>
            <w:vAlign w:val="center"/>
          </w:tcPr>
          <w:p w14:paraId="723CE354" w14:textId="77777777" w:rsidR="0026773C" w:rsidRPr="00217A6C" w:rsidRDefault="0026773C" w:rsidP="00217A6C">
            <w:pPr>
              <w:pBdr>
                <w:top w:val="nil"/>
                <w:left w:val="nil"/>
                <w:bottom w:val="nil"/>
                <w:right w:val="nil"/>
                <w:between w:val="nil"/>
              </w:pBdr>
              <w:spacing w:after="120" w:line="360" w:lineRule="auto"/>
              <w:rPr>
                <w:rFonts w:ascii="Arial" w:eastAsia="Arial" w:hAnsi="Arial" w:cs="Arial"/>
                <w:color w:val="010000"/>
                <w:sz w:val="20"/>
                <w:szCs w:val="20"/>
              </w:rPr>
            </w:pPr>
          </w:p>
        </w:tc>
        <w:tc>
          <w:tcPr>
            <w:tcW w:w="2069" w:type="pct"/>
            <w:vMerge/>
            <w:tcBorders>
              <w:top w:val="single" w:sz="4" w:space="0" w:color="000000"/>
              <w:left w:val="single" w:sz="4" w:space="0" w:color="000000"/>
            </w:tcBorders>
            <w:shd w:val="clear" w:color="auto" w:fill="auto"/>
            <w:tcMar>
              <w:top w:w="0" w:type="dxa"/>
              <w:bottom w:w="0" w:type="dxa"/>
            </w:tcMar>
            <w:vAlign w:val="center"/>
          </w:tcPr>
          <w:p w14:paraId="24EA06AD" w14:textId="77777777" w:rsidR="0026773C" w:rsidRPr="00217A6C" w:rsidRDefault="0026773C" w:rsidP="00217A6C">
            <w:pPr>
              <w:pBdr>
                <w:top w:val="nil"/>
                <w:left w:val="nil"/>
                <w:bottom w:val="nil"/>
                <w:right w:val="nil"/>
                <w:between w:val="nil"/>
              </w:pBdr>
              <w:spacing w:after="120" w:line="360" w:lineRule="auto"/>
              <w:rPr>
                <w:rFonts w:ascii="Arial" w:eastAsia="Arial" w:hAnsi="Arial" w:cs="Arial"/>
                <w:color w:val="010000"/>
                <w:sz w:val="20"/>
                <w:szCs w:val="20"/>
              </w:rPr>
            </w:pPr>
          </w:p>
        </w:tc>
        <w:tc>
          <w:tcPr>
            <w:tcW w:w="550" w:type="pct"/>
            <w:vMerge/>
            <w:tcBorders>
              <w:top w:val="single" w:sz="4" w:space="0" w:color="000000"/>
              <w:left w:val="single" w:sz="4" w:space="0" w:color="000000"/>
            </w:tcBorders>
            <w:shd w:val="clear" w:color="auto" w:fill="auto"/>
            <w:tcMar>
              <w:top w:w="0" w:type="dxa"/>
              <w:bottom w:w="0" w:type="dxa"/>
            </w:tcMar>
            <w:vAlign w:val="center"/>
          </w:tcPr>
          <w:p w14:paraId="410EE9BF" w14:textId="77777777" w:rsidR="0026773C" w:rsidRPr="00217A6C" w:rsidRDefault="0026773C" w:rsidP="00217A6C">
            <w:pPr>
              <w:pBdr>
                <w:top w:val="nil"/>
                <w:left w:val="nil"/>
                <w:bottom w:val="nil"/>
                <w:right w:val="nil"/>
                <w:between w:val="nil"/>
              </w:pBdr>
              <w:spacing w:after="120" w:line="360" w:lineRule="auto"/>
              <w:rPr>
                <w:rFonts w:ascii="Arial" w:eastAsia="Arial" w:hAnsi="Arial" w:cs="Arial"/>
                <w:color w:val="010000"/>
                <w:sz w:val="20"/>
                <w:szCs w:val="20"/>
              </w:rPr>
            </w:pPr>
          </w:p>
        </w:tc>
        <w:tc>
          <w:tcPr>
            <w:tcW w:w="1020" w:type="pct"/>
            <w:tcBorders>
              <w:top w:val="single" w:sz="4" w:space="0" w:color="000000"/>
              <w:left w:val="single" w:sz="4" w:space="0" w:color="000000"/>
            </w:tcBorders>
            <w:shd w:val="clear" w:color="auto" w:fill="auto"/>
            <w:tcMar>
              <w:top w:w="0" w:type="dxa"/>
              <w:bottom w:w="0" w:type="dxa"/>
            </w:tcMar>
            <w:vAlign w:val="center"/>
          </w:tcPr>
          <w:p w14:paraId="742A287D"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Total</w:t>
            </w:r>
          </w:p>
        </w:tc>
        <w:tc>
          <w:tcPr>
            <w:tcW w:w="9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060370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Holding Company</w:t>
            </w:r>
          </w:p>
        </w:tc>
      </w:tr>
      <w:tr w:rsidR="0026773C" w:rsidRPr="00217A6C" w14:paraId="12FE715C" w14:textId="77777777" w:rsidTr="00217A6C">
        <w:tc>
          <w:tcPr>
            <w:tcW w:w="393" w:type="pct"/>
            <w:tcBorders>
              <w:top w:val="single" w:sz="4" w:space="0" w:color="000000"/>
              <w:left w:val="single" w:sz="4" w:space="0" w:color="000000"/>
            </w:tcBorders>
            <w:shd w:val="clear" w:color="auto" w:fill="auto"/>
            <w:tcMar>
              <w:top w:w="0" w:type="dxa"/>
              <w:bottom w:w="0" w:type="dxa"/>
            </w:tcMar>
            <w:vAlign w:val="center"/>
          </w:tcPr>
          <w:p w14:paraId="6844EE6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2069" w:type="pct"/>
            <w:tcBorders>
              <w:top w:val="single" w:sz="4" w:space="0" w:color="000000"/>
              <w:left w:val="single" w:sz="4" w:space="0" w:color="000000"/>
            </w:tcBorders>
            <w:shd w:val="clear" w:color="auto" w:fill="auto"/>
            <w:tcMar>
              <w:top w:w="0" w:type="dxa"/>
              <w:bottom w:w="0" w:type="dxa"/>
            </w:tcMar>
            <w:vAlign w:val="center"/>
          </w:tcPr>
          <w:p w14:paraId="3779FD7E"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production and business value</w:t>
            </w:r>
          </w:p>
        </w:tc>
        <w:tc>
          <w:tcPr>
            <w:tcW w:w="550" w:type="pct"/>
            <w:tcBorders>
              <w:top w:val="single" w:sz="4" w:space="0" w:color="000000"/>
              <w:left w:val="single" w:sz="4" w:space="0" w:color="000000"/>
            </w:tcBorders>
            <w:shd w:val="clear" w:color="auto" w:fill="auto"/>
            <w:tcMar>
              <w:top w:w="0" w:type="dxa"/>
              <w:bottom w:w="0" w:type="dxa"/>
            </w:tcMar>
            <w:vAlign w:val="center"/>
          </w:tcPr>
          <w:p w14:paraId="5DFEA715"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020" w:type="pct"/>
            <w:tcBorders>
              <w:top w:val="single" w:sz="4" w:space="0" w:color="000000"/>
              <w:left w:val="single" w:sz="4" w:space="0" w:color="000000"/>
            </w:tcBorders>
            <w:shd w:val="clear" w:color="auto" w:fill="auto"/>
            <w:tcMar>
              <w:top w:w="0" w:type="dxa"/>
              <w:bottom w:w="0" w:type="dxa"/>
            </w:tcMar>
            <w:vAlign w:val="center"/>
          </w:tcPr>
          <w:p w14:paraId="0D5CC871"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2,333,900</w:t>
            </w:r>
          </w:p>
        </w:tc>
        <w:tc>
          <w:tcPr>
            <w:tcW w:w="9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B825B89"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1,131,000</w:t>
            </w:r>
          </w:p>
        </w:tc>
      </w:tr>
      <w:tr w:rsidR="0026773C" w:rsidRPr="00217A6C" w14:paraId="3E931CCE" w14:textId="77777777" w:rsidTr="00217A6C">
        <w:tc>
          <w:tcPr>
            <w:tcW w:w="393" w:type="pct"/>
            <w:tcBorders>
              <w:top w:val="single" w:sz="4" w:space="0" w:color="000000"/>
              <w:left w:val="single" w:sz="4" w:space="0" w:color="000000"/>
            </w:tcBorders>
            <w:shd w:val="clear" w:color="auto" w:fill="auto"/>
            <w:tcMar>
              <w:top w:w="0" w:type="dxa"/>
              <w:bottom w:w="0" w:type="dxa"/>
            </w:tcMar>
            <w:vAlign w:val="center"/>
          </w:tcPr>
          <w:p w14:paraId="464FA10D"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2069" w:type="pct"/>
            <w:tcBorders>
              <w:top w:val="single" w:sz="4" w:space="0" w:color="000000"/>
              <w:left w:val="single" w:sz="4" w:space="0" w:color="000000"/>
            </w:tcBorders>
            <w:shd w:val="clear" w:color="auto" w:fill="auto"/>
            <w:tcMar>
              <w:top w:w="0" w:type="dxa"/>
              <w:bottom w:w="0" w:type="dxa"/>
            </w:tcMar>
            <w:vAlign w:val="center"/>
          </w:tcPr>
          <w:p w14:paraId="77E2464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investment value</w:t>
            </w:r>
          </w:p>
        </w:tc>
        <w:tc>
          <w:tcPr>
            <w:tcW w:w="550" w:type="pct"/>
            <w:tcBorders>
              <w:top w:val="single" w:sz="4" w:space="0" w:color="000000"/>
              <w:left w:val="single" w:sz="4" w:space="0" w:color="000000"/>
            </w:tcBorders>
            <w:shd w:val="clear" w:color="auto" w:fill="auto"/>
            <w:tcMar>
              <w:top w:w="0" w:type="dxa"/>
              <w:bottom w:w="0" w:type="dxa"/>
            </w:tcMar>
            <w:vAlign w:val="center"/>
          </w:tcPr>
          <w:p w14:paraId="3EAE70AD"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020" w:type="pct"/>
            <w:tcBorders>
              <w:top w:val="single" w:sz="4" w:space="0" w:color="000000"/>
              <w:left w:val="single" w:sz="4" w:space="0" w:color="000000"/>
            </w:tcBorders>
            <w:shd w:val="clear" w:color="auto" w:fill="auto"/>
            <w:tcMar>
              <w:top w:w="0" w:type="dxa"/>
              <w:bottom w:w="0" w:type="dxa"/>
            </w:tcMar>
            <w:vAlign w:val="center"/>
          </w:tcPr>
          <w:p w14:paraId="45256BE6"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1,551,824</w:t>
            </w:r>
          </w:p>
        </w:tc>
        <w:tc>
          <w:tcPr>
            <w:tcW w:w="9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A9223B"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615,724</w:t>
            </w:r>
          </w:p>
        </w:tc>
      </w:tr>
      <w:tr w:rsidR="0026773C" w:rsidRPr="00217A6C" w14:paraId="65ADA639" w14:textId="77777777" w:rsidTr="00217A6C">
        <w:tc>
          <w:tcPr>
            <w:tcW w:w="393" w:type="pct"/>
            <w:tcBorders>
              <w:top w:val="single" w:sz="4" w:space="0" w:color="000000"/>
              <w:left w:val="single" w:sz="4" w:space="0" w:color="000000"/>
            </w:tcBorders>
            <w:shd w:val="clear" w:color="auto" w:fill="auto"/>
            <w:tcMar>
              <w:top w:w="0" w:type="dxa"/>
              <w:bottom w:w="0" w:type="dxa"/>
            </w:tcMar>
            <w:vAlign w:val="center"/>
          </w:tcPr>
          <w:p w14:paraId="2CC4EFD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2069" w:type="pct"/>
            <w:tcBorders>
              <w:top w:val="single" w:sz="4" w:space="0" w:color="000000"/>
              <w:left w:val="single" w:sz="4" w:space="0" w:color="000000"/>
            </w:tcBorders>
            <w:shd w:val="clear" w:color="auto" w:fill="auto"/>
            <w:tcMar>
              <w:top w:w="0" w:type="dxa"/>
              <w:bottom w:w="0" w:type="dxa"/>
            </w:tcMar>
            <w:vAlign w:val="center"/>
          </w:tcPr>
          <w:p w14:paraId="1A31DF4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w:t>
            </w:r>
          </w:p>
        </w:tc>
        <w:tc>
          <w:tcPr>
            <w:tcW w:w="550" w:type="pct"/>
            <w:tcBorders>
              <w:top w:val="single" w:sz="4" w:space="0" w:color="000000"/>
              <w:left w:val="single" w:sz="4" w:space="0" w:color="000000"/>
            </w:tcBorders>
            <w:shd w:val="clear" w:color="auto" w:fill="auto"/>
            <w:tcMar>
              <w:top w:w="0" w:type="dxa"/>
              <w:bottom w:w="0" w:type="dxa"/>
            </w:tcMar>
            <w:vAlign w:val="center"/>
          </w:tcPr>
          <w:p w14:paraId="064E736B"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020" w:type="pct"/>
            <w:tcBorders>
              <w:top w:val="single" w:sz="4" w:space="0" w:color="000000"/>
              <w:left w:val="single" w:sz="4" w:space="0" w:color="000000"/>
            </w:tcBorders>
            <w:shd w:val="clear" w:color="auto" w:fill="auto"/>
            <w:tcMar>
              <w:top w:w="0" w:type="dxa"/>
              <w:bottom w:w="0" w:type="dxa"/>
            </w:tcMar>
            <w:vAlign w:val="center"/>
          </w:tcPr>
          <w:p w14:paraId="0AAE8932"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2,264,000</w:t>
            </w:r>
          </w:p>
        </w:tc>
        <w:tc>
          <w:tcPr>
            <w:tcW w:w="9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4D1F4EA"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1,314,000</w:t>
            </w:r>
          </w:p>
        </w:tc>
      </w:tr>
      <w:tr w:rsidR="0026773C" w:rsidRPr="00217A6C" w14:paraId="41DD7BA1" w14:textId="77777777" w:rsidTr="00217A6C">
        <w:tc>
          <w:tcPr>
            <w:tcW w:w="393" w:type="pct"/>
            <w:tcBorders>
              <w:top w:val="single" w:sz="4" w:space="0" w:color="000000"/>
              <w:left w:val="single" w:sz="4" w:space="0" w:color="000000"/>
            </w:tcBorders>
            <w:shd w:val="clear" w:color="auto" w:fill="auto"/>
            <w:tcMar>
              <w:top w:w="0" w:type="dxa"/>
              <w:bottom w:w="0" w:type="dxa"/>
            </w:tcMar>
            <w:vAlign w:val="center"/>
          </w:tcPr>
          <w:p w14:paraId="51CEC42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2069" w:type="pct"/>
            <w:tcBorders>
              <w:top w:val="single" w:sz="4" w:space="0" w:color="000000"/>
              <w:left w:val="single" w:sz="4" w:space="0" w:color="000000"/>
            </w:tcBorders>
            <w:shd w:val="clear" w:color="auto" w:fill="auto"/>
            <w:tcMar>
              <w:top w:w="0" w:type="dxa"/>
              <w:bottom w:w="0" w:type="dxa"/>
            </w:tcMar>
            <w:vAlign w:val="center"/>
          </w:tcPr>
          <w:p w14:paraId="0447F825"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550" w:type="pct"/>
            <w:tcBorders>
              <w:top w:val="single" w:sz="4" w:space="0" w:color="000000"/>
              <w:left w:val="single" w:sz="4" w:space="0" w:color="000000"/>
            </w:tcBorders>
            <w:shd w:val="clear" w:color="auto" w:fill="auto"/>
            <w:tcMar>
              <w:top w:w="0" w:type="dxa"/>
              <w:bottom w:w="0" w:type="dxa"/>
            </w:tcMar>
            <w:vAlign w:val="center"/>
          </w:tcPr>
          <w:p w14:paraId="58074D1A"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Million VND</w:t>
            </w:r>
          </w:p>
        </w:tc>
        <w:tc>
          <w:tcPr>
            <w:tcW w:w="1020" w:type="pct"/>
            <w:tcBorders>
              <w:top w:val="single" w:sz="4" w:space="0" w:color="000000"/>
              <w:left w:val="single" w:sz="4" w:space="0" w:color="000000"/>
            </w:tcBorders>
            <w:shd w:val="clear" w:color="auto" w:fill="auto"/>
            <w:tcMar>
              <w:top w:w="0" w:type="dxa"/>
              <w:bottom w:w="0" w:type="dxa"/>
            </w:tcMar>
            <w:vAlign w:val="center"/>
          </w:tcPr>
          <w:p w14:paraId="2B25B7FC"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137,129</w:t>
            </w:r>
          </w:p>
        </w:tc>
        <w:tc>
          <w:tcPr>
            <w:tcW w:w="9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1101AB5"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70,268</w:t>
            </w:r>
          </w:p>
        </w:tc>
      </w:tr>
      <w:tr w:rsidR="0026773C" w:rsidRPr="00217A6C" w14:paraId="47BB7EED" w14:textId="77777777" w:rsidTr="00217A6C">
        <w:tc>
          <w:tcPr>
            <w:tcW w:w="39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DC9C3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206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261C3D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payment</w:t>
            </w:r>
          </w:p>
        </w:tc>
        <w:tc>
          <w:tcPr>
            <w:tcW w:w="55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BA220F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102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5D756E9" w14:textId="77777777" w:rsidR="0026773C" w:rsidRPr="00217A6C" w:rsidRDefault="0026773C" w:rsidP="00217A6C">
            <w:pPr>
              <w:spacing w:after="120" w:line="360" w:lineRule="auto"/>
              <w:jc w:val="right"/>
              <w:rPr>
                <w:rFonts w:ascii="Arial" w:eastAsia="Arial" w:hAnsi="Arial" w:cs="Arial"/>
                <w:color w:val="010000"/>
                <w:sz w:val="20"/>
                <w:szCs w:val="20"/>
              </w:rPr>
            </w:pPr>
          </w:p>
        </w:tc>
        <w:tc>
          <w:tcPr>
            <w:tcW w:w="96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12DDE72"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8.0</w:t>
            </w:r>
          </w:p>
        </w:tc>
      </w:tr>
    </w:tbl>
    <w:p w14:paraId="7F0116D2" w14:textId="4E5BDAF5"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3: Approve the Report of the Board of Directors on activities in 2023 and plan 2024 </w:t>
      </w:r>
    </w:p>
    <w:p w14:paraId="67D5767D" w14:textId="34EBC145"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4: Approve the Report of the Audit Committee on activities in 2023 and plan 2024 </w:t>
      </w:r>
    </w:p>
    <w:p w14:paraId="032F9186" w14:textId="53624CDB"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5: Approve the Audited Separate and Consolidated Financial Statements 2023 </w:t>
      </w:r>
    </w:p>
    <w:p w14:paraId="52EE7BAC" w14:textId="7D2B50C3"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6: Approve the profit distribution plan 2023 </w:t>
      </w:r>
    </w:p>
    <w:p w14:paraId="220B65F5"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Board of Directors of SCI Joint Stock Company submits the Annual General Meeting of Shareholders 2024 the profit distribution plan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4"/>
        <w:gridCol w:w="5349"/>
        <w:gridCol w:w="691"/>
        <w:gridCol w:w="2523"/>
      </w:tblGrid>
      <w:tr w:rsidR="0026773C" w:rsidRPr="00217A6C" w14:paraId="09048CE0" w14:textId="77777777" w:rsidTr="00217A6C">
        <w:tc>
          <w:tcPr>
            <w:tcW w:w="252" w:type="pct"/>
            <w:shd w:val="clear" w:color="auto" w:fill="auto"/>
            <w:tcMar>
              <w:top w:w="0" w:type="dxa"/>
              <w:bottom w:w="0" w:type="dxa"/>
            </w:tcMar>
            <w:vAlign w:val="center"/>
          </w:tcPr>
          <w:p w14:paraId="2A5324C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966" w:type="pct"/>
            <w:shd w:val="clear" w:color="auto" w:fill="auto"/>
            <w:tcMar>
              <w:top w:w="0" w:type="dxa"/>
              <w:bottom w:w="0" w:type="dxa"/>
            </w:tcMar>
            <w:vAlign w:val="center"/>
          </w:tcPr>
          <w:p w14:paraId="52B67F5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Content</w:t>
            </w:r>
          </w:p>
        </w:tc>
        <w:tc>
          <w:tcPr>
            <w:tcW w:w="383" w:type="pct"/>
            <w:shd w:val="clear" w:color="auto" w:fill="auto"/>
            <w:tcMar>
              <w:top w:w="0" w:type="dxa"/>
              <w:bottom w:w="0" w:type="dxa"/>
            </w:tcMar>
            <w:vAlign w:val="center"/>
          </w:tcPr>
          <w:p w14:paraId="3E3F39E4"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Rate</w:t>
            </w:r>
          </w:p>
        </w:tc>
        <w:tc>
          <w:tcPr>
            <w:tcW w:w="1399" w:type="pct"/>
            <w:shd w:val="clear" w:color="auto" w:fill="auto"/>
            <w:tcMar>
              <w:top w:w="0" w:type="dxa"/>
              <w:bottom w:w="0" w:type="dxa"/>
            </w:tcMar>
            <w:vAlign w:val="center"/>
          </w:tcPr>
          <w:p w14:paraId="1A9CB62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Value (VND)</w:t>
            </w:r>
          </w:p>
        </w:tc>
      </w:tr>
      <w:tr w:rsidR="0026773C" w:rsidRPr="00217A6C" w14:paraId="3D03D2B0" w14:textId="77777777" w:rsidTr="00217A6C">
        <w:tc>
          <w:tcPr>
            <w:tcW w:w="252" w:type="pct"/>
            <w:shd w:val="clear" w:color="auto" w:fill="auto"/>
            <w:tcMar>
              <w:top w:w="0" w:type="dxa"/>
              <w:bottom w:w="0" w:type="dxa"/>
            </w:tcMar>
            <w:vAlign w:val="center"/>
          </w:tcPr>
          <w:p w14:paraId="0E9D224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2966" w:type="pct"/>
            <w:shd w:val="clear" w:color="auto" w:fill="auto"/>
            <w:tcMar>
              <w:top w:w="0" w:type="dxa"/>
              <w:bottom w:w="0" w:type="dxa"/>
            </w:tcMar>
            <w:vAlign w:val="center"/>
          </w:tcPr>
          <w:p w14:paraId="3D38BA6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383" w:type="pct"/>
            <w:shd w:val="clear" w:color="auto" w:fill="auto"/>
            <w:tcMar>
              <w:top w:w="0" w:type="dxa"/>
              <w:bottom w:w="0" w:type="dxa"/>
            </w:tcMar>
            <w:vAlign w:val="center"/>
          </w:tcPr>
          <w:p w14:paraId="445425F6"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6B4123B5"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145,838,702,099</w:t>
            </w:r>
          </w:p>
        </w:tc>
      </w:tr>
      <w:tr w:rsidR="0026773C" w:rsidRPr="00217A6C" w14:paraId="69C8AAE4" w14:textId="77777777" w:rsidTr="00217A6C">
        <w:tc>
          <w:tcPr>
            <w:tcW w:w="252" w:type="pct"/>
            <w:shd w:val="clear" w:color="auto" w:fill="auto"/>
            <w:tcMar>
              <w:top w:w="0" w:type="dxa"/>
              <w:bottom w:w="0" w:type="dxa"/>
            </w:tcMar>
            <w:vAlign w:val="center"/>
          </w:tcPr>
          <w:p w14:paraId="56B66E32"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2966" w:type="pct"/>
            <w:shd w:val="clear" w:color="auto" w:fill="auto"/>
            <w:tcMar>
              <w:top w:w="0" w:type="dxa"/>
              <w:bottom w:w="0" w:type="dxa"/>
            </w:tcMar>
            <w:vAlign w:val="center"/>
          </w:tcPr>
          <w:p w14:paraId="2FAE6036"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Corporate income tax payable</w:t>
            </w:r>
          </w:p>
        </w:tc>
        <w:tc>
          <w:tcPr>
            <w:tcW w:w="383" w:type="pct"/>
            <w:shd w:val="clear" w:color="auto" w:fill="auto"/>
            <w:tcMar>
              <w:top w:w="0" w:type="dxa"/>
              <w:bottom w:w="0" w:type="dxa"/>
            </w:tcMar>
            <w:vAlign w:val="center"/>
          </w:tcPr>
          <w:p w14:paraId="4FADCE9C"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59DC0C17"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20,702,144,687</w:t>
            </w:r>
          </w:p>
        </w:tc>
      </w:tr>
      <w:tr w:rsidR="0026773C" w:rsidRPr="00217A6C" w14:paraId="5A01E2ED" w14:textId="77777777" w:rsidTr="00217A6C">
        <w:tc>
          <w:tcPr>
            <w:tcW w:w="252" w:type="pct"/>
            <w:shd w:val="clear" w:color="auto" w:fill="auto"/>
            <w:tcMar>
              <w:top w:w="0" w:type="dxa"/>
              <w:bottom w:w="0" w:type="dxa"/>
            </w:tcMar>
            <w:vAlign w:val="center"/>
          </w:tcPr>
          <w:p w14:paraId="5250D32E"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2966" w:type="pct"/>
            <w:shd w:val="clear" w:color="auto" w:fill="auto"/>
            <w:tcMar>
              <w:top w:w="0" w:type="dxa"/>
              <w:bottom w:w="0" w:type="dxa"/>
            </w:tcMar>
            <w:vAlign w:val="center"/>
          </w:tcPr>
          <w:p w14:paraId="01C26A3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 (3)=(1)-(2)</w:t>
            </w:r>
          </w:p>
        </w:tc>
        <w:tc>
          <w:tcPr>
            <w:tcW w:w="383" w:type="pct"/>
            <w:shd w:val="clear" w:color="auto" w:fill="auto"/>
            <w:tcMar>
              <w:top w:w="0" w:type="dxa"/>
              <w:bottom w:w="0" w:type="dxa"/>
            </w:tcMar>
            <w:vAlign w:val="center"/>
          </w:tcPr>
          <w:p w14:paraId="1A70DBE1"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76B006CD"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125,136,557,412</w:t>
            </w:r>
          </w:p>
        </w:tc>
      </w:tr>
      <w:tr w:rsidR="0026773C" w:rsidRPr="00217A6C" w14:paraId="2FC35537" w14:textId="77777777" w:rsidTr="00217A6C">
        <w:tc>
          <w:tcPr>
            <w:tcW w:w="252" w:type="pct"/>
            <w:shd w:val="clear" w:color="auto" w:fill="auto"/>
            <w:tcMar>
              <w:top w:w="0" w:type="dxa"/>
              <w:bottom w:w="0" w:type="dxa"/>
            </w:tcMar>
            <w:vAlign w:val="center"/>
          </w:tcPr>
          <w:p w14:paraId="156B9310"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2966" w:type="pct"/>
            <w:shd w:val="clear" w:color="auto" w:fill="auto"/>
            <w:tcMar>
              <w:top w:w="0" w:type="dxa"/>
              <w:bottom w:w="0" w:type="dxa"/>
            </w:tcMar>
            <w:vAlign w:val="center"/>
          </w:tcPr>
          <w:p w14:paraId="5AF5950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Deductions in profit after tax</w:t>
            </w:r>
          </w:p>
        </w:tc>
        <w:tc>
          <w:tcPr>
            <w:tcW w:w="383" w:type="pct"/>
            <w:shd w:val="clear" w:color="auto" w:fill="auto"/>
            <w:tcMar>
              <w:top w:w="0" w:type="dxa"/>
              <w:bottom w:w="0" w:type="dxa"/>
            </w:tcMar>
            <w:vAlign w:val="center"/>
          </w:tcPr>
          <w:p w14:paraId="1A63A4BC"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7BB37CB0"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0</w:t>
            </w:r>
          </w:p>
        </w:tc>
      </w:tr>
      <w:tr w:rsidR="0026773C" w:rsidRPr="00217A6C" w14:paraId="398E6055" w14:textId="77777777" w:rsidTr="00217A6C">
        <w:tc>
          <w:tcPr>
            <w:tcW w:w="252" w:type="pct"/>
            <w:shd w:val="clear" w:color="auto" w:fill="auto"/>
            <w:tcMar>
              <w:top w:w="0" w:type="dxa"/>
              <w:bottom w:w="0" w:type="dxa"/>
            </w:tcMar>
            <w:vAlign w:val="center"/>
          </w:tcPr>
          <w:p w14:paraId="73A8DA65"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2966" w:type="pct"/>
            <w:shd w:val="clear" w:color="auto" w:fill="auto"/>
            <w:tcMar>
              <w:top w:w="0" w:type="dxa"/>
              <w:bottom w:w="0" w:type="dxa"/>
            </w:tcMar>
            <w:vAlign w:val="center"/>
          </w:tcPr>
          <w:p w14:paraId="2FCF567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distribution (5)=(3)-(4)</w:t>
            </w:r>
          </w:p>
        </w:tc>
        <w:tc>
          <w:tcPr>
            <w:tcW w:w="383" w:type="pct"/>
            <w:shd w:val="clear" w:color="auto" w:fill="auto"/>
            <w:tcMar>
              <w:top w:w="0" w:type="dxa"/>
              <w:bottom w:w="0" w:type="dxa"/>
            </w:tcMar>
            <w:vAlign w:val="center"/>
          </w:tcPr>
          <w:p w14:paraId="40350426"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4CECF561"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125,136,557,412</w:t>
            </w:r>
          </w:p>
        </w:tc>
      </w:tr>
      <w:tr w:rsidR="0026773C" w:rsidRPr="00217A6C" w14:paraId="2D4C3A46" w14:textId="77777777" w:rsidTr="00217A6C">
        <w:tc>
          <w:tcPr>
            <w:tcW w:w="252" w:type="pct"/>
            <w:shd w:val="clear" w:color="auto" w:fill="auto"/>
            <w:tcMar>
              <w:top w:w="0" w:type="dxa"/>
              <w:bottom w:w="0" w:type="dxa"/>
            </w:tcMar>
            <w:vAlign w:val="center"/>
          </w:tcPr>
          <w:p w14:paraId="26126B6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w:t>
            </w:r>
          </w:p>
        </w:tc>
        <w:tc>
          <w:tcPr>
            <w:tcW w:w="2966" w:type="pct"/>
            <w:shd w:val="clear" w:color="auto" w:fill="auto"/>
            <w:tcMar>
              <w:top w:w="0" w:type="dxa"/>
              <w:bottom w:w="0" w:type="dxa"/>
            </w:tcMar>
            <w:vAlign w:val="center"/>
          </w:tcPr>
          <w:p w14:paraId="2BAF360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Appropriation for funds of the enterprise</w:t>
            </w:r>
          </w:p>
        </w:tc>
        <w:tc>
          <w:tcPr>
            <w:tcW w:w="383" w:type="pct"/>
            <w:shd w:val="clear" w:color="auto" w:fill="auto"/>
            <w:tcMar>
              <w:top w:w="0" w:type="dxa"/>
              <w:bottom w:w="0" w:type="dxa"/>
            </w:tcMar>
            <w:vAlign w:val="center"/>
          </w:tcPr>
          <w:p w14:paraId="7BB925D9"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08EDFE94"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0</w:t>
            </w:r>
          </w:p>
        </w:tc>
      </w:tr>
      <w:tr w:rsidR="0026773C" w:rsidRPr="00217A6C" w14:paraId="794833A3" w14:textId="77777777" w:rsidTr="00217A6C">
        <w:tc>
          <w:tcPr>
            <w:tcW w:w="252" w:type="pct"/>
            <w:shd w:val="clear" w:color="auto" w:fill="auto"/>
            <w:tcMar>
              <w:top w:w="0" w:type="dxa"/>
              <w:bottom w:w="0" w:type="dxa"/>
            </w:tcMar>
            <w:vAlign w:val="center"/>
          </w:tcPr>
          <w:p w14:paraId="6064665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2966" w:type="pct"/>
            <w:shd w:val="clear" w:color="auto" w:fill="auto"/>
            <w:tcMar>
              <w:top w:w="0" w:type="dxa"/>
              <w:bottom w:w="0" w:type="dxa"/>
            </w:tcMar>
            <w:vAlign w:val="center"/>
          </w:tcPr>
          <w:p w14:paraId="06B732C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Investment and development fund</w:t>
            </w:r>
          </w:p>
        </w:tc>
        <w:tc>
          <w:tcPr>
            <w:tcW w:w="383" w:type="pct"/>
            <w:shd w:val="clear" w:color="auto" w:fill="auto"/>
            <w:tcMar>
              <w:top w:w="0" w:type="dxa"/>
              <w:bottom w:w="0" w:type="dxa"/>
            </w:tcMar>
            <w:vAlign w:val="center"/>
          </w:tcPr>
          <w:p w14:paraId="3D240350"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w:t>
            </w:r>
          </w:p>
        </w:tc>
        <w:tc>
          <w:tcPr>
            <w:tcW w:w="1399" w:type="pct"/>
            <w:shd w:val="clear" w:color="auto" w:fill="auto"/>
            <w:tcMar>
              <w:top w:w="0" w:type="dxa"/>
              <w:bottom w:w="0" w:type="dxa"/>
            </w:tcMar>
            <w:vAlign w:val="center"/>
          </w:tcPr>
          <w:p w14:paraId="299FFA0B" w14:textId="77777777" w:rsidR="0026773C" w:rsidRPr="00217A6C" w:rsidRDefault="0026773C" w:rsidP="00217A6C">
            <w:pPr>
              <w:spacing w:after="120" w:line="360" w:lineRule="auto"/>
              <w:jc w:val="right"/>
              <w:rPr>
                <w:rFonts w:ascii="Arial" w:eastAsia="Arial" w:hAnsi="Arial" w:cs="Arial"/>
                <w:color w:val="010000"/>
                <w:sz w:val="20"/>
                <w:szCs w:val="20"/>
              </w:rPr>
            </w:pPr>
          </w:p>
        </w:tc>
      </w:tr>
      <w:tr w:rsidR="0026773C" w:rsidRPr="00217A6C" w14:paraId="412DDD1B" w14:textId="77777777" w:rsidTr="00217A6C">
        <w:tc>
          <w:tcPr>
            <w:tcW w:w="252" w:type="pct"/>
            <w:shd w:val="clear" w:color="auto" w:fill="auto"/>
            <w:tcMar>
              <w:top w:w="0" w:type="dxa"/>
              <w:bottom w:w="0" w:type="dxa"/>
            </w:tcMar>
            <w:vAlign w:val="center"/>
          </w:tcPr>
          <w:p w14:paraId="61F1E488"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2966" w:type="pct"/>
            <w:shd w:val="clear" w:color="auto" w:fill="auto"/>
            <w:tcMar>
              <w:top w:w="0" w:type="dxa"/>
              <w:bottom w:w="0" w:type="dxa"/>
            </w:tcMar>
            <w:vAlign w:val="center"/>
          </w:tcPr>
          <w:p w14:paraId="17D91A0A"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Welfare Fund</w:t>
            </w:r>
          </w:p>
        </w:tc>
        <w:tc>
          <w:tcPr>
            <w:tcW w:w="383" w:type="pct"/>
            <w:shd w:val="clear" w:color="auto" w:fill="auto"/>
            <w:tcMar>
              <w:top w:w="0" w:type="dxa"/>
              <w:bottom w:w="0" w:type="dxa"/>
            </w:tcMar>
            <w:vAlign w:val="center"/>
          </w:tcPr>
          <w:p w14:paraId="7EC8A2EF"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w:t>
            </w:r>
          </w:p>
        </w:tc>
        <w:tc>
          <w:tcPr>
            <w:tcW w:w="1399" w:type="pct"/>
            <w:shd w:val="clear" w:color="auto" w:fill="auto"/>
            <w:tcMar>
              <w:top w:w="0" w:type="dxa"/>
              <w:bottom w:w="0" w:type="dxa"/>
            </w:tcMar>
            <w:vAlign w:val="center"/>
          </w:tcPr>
          <w:p w14:paraId="721F9897" w14:textId="77777777" w:rsidR="0026773C" w:rsidRPr="00217A6C" w:rsidRDefault="0026773C" w:rsidP="00217A6C">
            <w:pPr>
              <w:spacing w:after="120" w:line="360" w:lineRule="auto"/>
              <w:jc w:val="right"/>
              <w:rPr>
                <w:rFonts w:ascii="Arial" w:eastAsia="Arial" w:hAnsi="Arial" w:cs="Arial"/>
                <w:color w:val="010000"/>
                <w:sz w:val="20"/>
                <w:szCs w:val="20"/>
              </w:rPr>
            </w:pPr>
          </w:p>
        </w:tc>
      </w:tr>
      <w:tr w:rsidR="0026773C" w:rsidRPr="00217A6C" w14:paraId="0399E036" w14:textId="77777777" w:rsidTr="00217A6C">
        <w:tc>
          <w:tcPr>
            <w:tcW w:w="252" w:type="pct"/>
            <w:shd w:val="clear" w:color="auto" w:fill="auto"/>
            <w:tcMar>
              <w:top w:w="0" w:type="dxa"/>
              <w:bottom w:w="0" w:type="dxa"/>
            </w:tcMar>
            <w:vAlign w:val="center"/>
          </w:tcPr>
          <w:p w14:paraId="17881F37"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w:t>
            </w:r>
          </w:p>
        </w:tc>
        <w:tc>
          <w:tcPr>
            <w:tcW w:w="2966" w:type="pct"/>
            <w:shd w:val="clear" w:color="auto" w:fill="auto"/>
            <w:tcMar>
              <w:top w:w="0" w:type="dxa"/>
              <w:bottom w:w="0" w:type="dxa"/>
            </w:tcMar>
            <w:vAlign w:val="center"/>
          </w:tcPr>
          <w:p w14:paraId="5C22429E"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Bonus fund</w:t>
            </w:r>
          </w:p>
        </w:tc>
        <w:tc>
          <w:tcPr>
            <w:tcW w:w="383" w:type="pct"/>
            <w:shd w:val="clear" w:color="auto" w:fill="auto"/>
            <w:tcMar>
              <w:top w:w="0" w:type="dxa"/>
              <w:bottom w:w="0" w:type="dxa"/>
            </w:tcMar>
            <w:vAlign w:val="center"/>
          </w:tcPr>
          <w:p w14:paraId="296285BC"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0%</w:t>
            </w:r>
          </w:p>
        </w:tc>
        <w:tc>
          <w:tcPr>
            <w:tcW w:w="1399" w:type="pct"/>
            <w:shd w:val="clear" w:color="auto" w:fill="auto"/>
            <w:tcMar>
              <w:top w:w="0" w:type="dxa"/>
              <w:bottom w:w="0" w:type="dxa"/>
            </w:tcMar>
            <w:vAlign w:val="center"/>
          </w:tcPr>
          <w:p w14:paraId="43B14B13" w14:textId="77777777" w:rsidR="0026773C" w:rsidRPr="00217A6C" w:rsidRDefault="0026773C" w:rsidP="00217A6C">
            <w:pPr>
              <w:pBdr>
                <w:top w:val="nil"/>
                <w:left w:val="nil"/>
                <w:bottom w:val="nil"/>
                <w:right w:val="nil"/>
                <w:between w:val="nil"/>
              </w:pBdr>
              <w:spacing w:after="120" w:line="360" w:lineRule="auto"/>
              <w:jc w:val="right"/>
              <w:rPr>
                <w:rFonts w:ascii="Arial" w:eastAsia="Arial" w:hAnsi="Arial" w:cs="Arial"/>
                <w:color w:val="010000"/>
                <w:sz w:val="20"/>
                <w:szCs w:val="20"/>
              </w:rPr>
            </w:pPr>
          </w:p>
        </w:tc>
      </w:tr>
      <w:tr w:rsidR="0026773C" w:rsidRPr="00217A6C" w14:paraId="201321CC" w14:textId="77777777" w:rsidTr="00217A6C">
        <w:tc>
          <w:tcPr>
            <w:tcW w:w="252" w:type="pct"/>
            <w:shd w:val="clear" w:color="auto" w:fill="auto"/>
            <w:tcMar>
              <w:top w:w="0" w:type="dxa"/>
              <w:bottom w:w="0" w:type="dxa"/>
            </w:tcMar>
            <w:vAlign w:val="center"/>
          </w:tcPr>
          <w:p w14:paraId="413B35F5"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7</w:t>
            </w:r>
          </w:p>
        </w:tc>
        <w:tc>
          <w:tcPr>
            <w:tcW w:w="2966" w:type="pct"/>
            <w:shd w:val="clear" w:color="auto" w:fill="auto"/>
            <w:tcMar>
              <w:top w:w="0" w:type="dxa"/>
              <w:bottom w:w="0" w:type="dxa"/>
            </w:tcMar>
            <w:vAlign w:val="center"/>
          </w:tcPr>
          <w:p w14:paraId="1791D6A4"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Remaining profit in 2023 after appropriation for funds</w:t>
            </w:r>
          </w:p>
        </w:tc>
        <w:tc>
          <w:tcPr>
            <w:tcW w:w="383" w:type="pct"/>
            <w:shd w:val="clear" w:color="auto" w:fill="auto"/>
            <w:tcMar>
              <w:top w:w="0" w:type="dxa"/>
              <w:bottom w:w="0" w:type="dxa"/>
            </w:tcMar>
            <w:vAlign w:val="center"/>
          </w:tcPr>
          <w:p w14:paraId="50E414DD"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59014078"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125,136,551,412</w:t>
            </w:r>
          </w:p>
        </w:tc>
      </w:tr>
      <w:tr w:rsidR="0026773C" w:rsidRPr="00217A6C" w14:paraId="7D1F7053" w14:textId="77777777" w:rsidTr="00217A6C">
        <w:tc>
          <w:tcPr>
            <w:tcW w:w="252" w:type="pct"/>
            <w:shd w:val="clear" w:color="auto" w:fill="auto"/>
            <w:tcMar>
              <w:top w:w="0" w:type="dxa"/>
              <w:bottom w:w="0" w:type="dxa"/>
            </w:tcMar>
            <w:vAlign w:val="center"/>
          </w:tcPr>
          <w:p w14:paraId="19045FA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w:t>
            </w:r>
          </w:p>
        </w:tc>
        <w:tc>
          <w:tcPr>
            <w:tcW w:w="2966" w:type="pct"/>
            <w:shd w:val="clear" w:color="auto" w:fill="auto"/>
            <w:tcMar>
              <w:top w:w="0" w:type="dxa"/>
              <w:bottom w:w="0" w:type="dxa"/>
            </w:tcMar>
            <w:vAlign w:val="center"/>
          </w:tcPr>
          <w:p w14:paraId="57D693F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Undistributed remaining profit from the previous year</w:t>
            </w:r>
          </w:p>
        </w:tc>
        <w:tc>
          <w:tcPr>
            <w:tcW w:w="383" w:type="pct"/>
            <w:shd w:val="clear" w:color="auto" w:fill="auto"/>
            <w:tcMar>
              <w:top w:w="0" w:type="dxa"/>
              <w:bottom w:w="0" w:type="dxa"/>
            </w:tcMar>
            <w:vAlign w:val="center"/>
          </w:tcPr>
          <w:p w14:paraId="5DF81039"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10934735"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100,318,569,816</w:t>
            </w:r>
          </w:p>
        </w:tc>
      </w:tr>
      <w:tr w:rsidR="0026773C" w:rsidRPr="00217A6C" w14:paraId="7F6870C7" w14:textId="77777777" w:rsidTr="00217A6C">
        <w:tc>
          <w:tcPr>
            <w:tcW w:w="252" w:type="pct"/>
            <w:shd w:val="clear" w:color="auto" w:fill="auto"/>
            <w:tcMar>
              <w:top w:w="0" w:type="dxa"/>
              <w:bottom w:w="0" w:type="dxa"/>
            </w:tcMar>
            <w:vAlign w:val="center"/>
          </w:tcPr>
          <w:p w14:paraId="3A252992"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lastRenderedPageBreak/>
              <w:t>9</w:t>
            </w:r>
          </w:p>
        </w:tc>
        <w:tc>
          <w:tcPr>
            <w:tcW w:w="2966" w:type="pct"/>
            <w:shd w:val="clear" w:color="auto" w:fill="auto"/>
            <w:tcMar>
              <w:top w:w="0" w:type="dxa"/>
              <w:bottom w:w="0" w:type="dxa"/>
            </w:tcMar>
            <w:vAlign w:val="center"/>
          </w:tcPr>
          <w:p w14:paraId="3EB8A4F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remaining profit (9)=(7)+(8)</w:t>
            </w:r>
          </w:p>
        </w:tc>
        <w:tc>
          <w:tcPr>
            <w:tcW w:w="383" w:type="pct"/>
            <w:shd w:val="clear" w:color="auto" w:fill="auto"/>
            <w:tcMar>
              <w:top w:w="0" w:type="dxa"/>
              <w:bottom w:w="0" w:type="dxa"/>
            </w:tcMar>
            <w:vAlign w:val="center"/>
          </w:tcPr>
          <w:p w14:paraId="4C9DC39E"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5B665219"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225,455,127,228</w:t>
            </w:r>
          </w:p>
        </w:tc>
      </w:tr>
      <w:tr w:rsidR="0026773C" w:rsidRPr="00217A6C" w14:paraId="4CC15885" w14:textId="77777777" w:rsidTr="00217A6C">
        <w:tc>
          <w:tcPr>
            <w:tcW w:w="252" w:type="pct"/>
            <w:shd w:val="clear" w:color="auto" w:fill="auto"/>
            <w:tcMar>
              <w:top w:w="0" w:type="dxa"/>
              <w:bottom w:w="0" w:type="dxa"/>
            </w:tcMar>
            <w:vAlign w:val="center"/>
          </w:tcPr>
          <w:p w14:paraId="64BB917B"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w:t>
            </w:r>
          </w:p>
        </w:tc>
        <w:tc>
          <w:tcPr>
            <w:tcW w:w="2966" w:type="pct"/>
            <w:shd w:val="clear" w:color="auto" w:fill="auto"/>
            <w:tcMar>
              <w:top w:w="0" w:type="dxa"/>
              <w:bottom w:w="0" w:type="dxa"/>
            </w:tcMar>
            <w:vAlign w:val="center"/>
          </w:tcPr>
          <w:p w14:paraId="0AC8FA06"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payment in 2023 by shares</w:t>
            </w:r>
          </w:p>
          <w:p w14:paraId="5B2C5F97"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(Details according to Proposal No. 06/2024/</w:t>
            </w:r>
            <w:proofErr w:type="spellStart"/>
            <w:r>
              <w:rPr>
                <w:rFonts w:ascii="Arial" w:hAnsi="Arial"/>
                <w:color w:val="010000"/>
                <w:sz w:val="20"/>
              </w:rPr>
              <w:t>TTr</w:t>
            </w:r>
            <w:proofErr w:type="spellEnd"/>
            <w:r>
              <w:rPr>
                <w:rFonts w:ascii="Arial" w:hAnsi="Arial"/>
                <w:color w:val="010000"/>
                <w:sz w:val="20"/>
              </w:rPr>
              <w:t xml:space="preserve">-SCJ-HDQT dated April 29, 2024 on approving the plan to issue shares to pay dividends in 2023) </w:t>
            </w:r>
          </w:p>
        </w:tc>
        <w:tc>
          <w:tcPr>
            <w:tcW w:w="383" w:type="pct"/>
            <w:shd w:val="clear" w:color="auto" w:fill="auto"/>
            <w:tcMar>
              <w:top w:w="0" w:type="dxa"/>
              <w:bottom w:w="0" w:type="dxa"/>
            </w:tcMar>
            <w:vAlign w:val="center"/>
          </w:tcPr>
          <w:p w14:paraId="505C1286"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p w14:paraId="773F8361"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Charter capital</w:t>
            </w:r>
          </w:p>
        </w:tc>
        <w:tc>
          <w:tcPr>
            <w:tcW w:w="1399" w:type="pct"/>
            <w:shd w:val="clear" w:color="auto" w:fill="auto"/>
            <w:tcMar>
              <w:top w:w="0" w:type="dxa"/>
              <w:bottom w:w="0" w:type="dxa"/>
            </w:tcMar>
            <w:vAlign w:val="center"/>
          </w:tcPr>
          <w:p w14:paraId="5AA0253C"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46,998,680,000</w:t>
            </w:r>
          </w:p>
        </w:tc>
      </w:tr>
      <w:tr w:rsidR="0026773C" w:rsidRPr="00217A6C" w14:paraId="141D5013" w14:textId="77777777" w:rsidTr="00217A6C">
        <w:tc>
          <w:tcPr>
            <w:tcW w:w="252" w:type="pct"/>
            <w:shd w:val="clear" w:color="auto" w:fill="auto"/>
            <w:tcMar>
              <w:top w:w="0" w:type="dxa"/>
              <w:bottom w:w="0" w:type="dxa"/>
            </w:tcMar>
            <w:vAlign w:val="center"/>
          </w:tcPr>
          <w:p w14:paraId="306DCB79" w14:textId="77777777" w:rsidR="0026773C" w:rsidRPr="00217A6C" w:rsidRDefault="00217A6C" w:rsidP="00217A6C">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11</w:t>
            </w:r>
          </w:p>
        </w:tc>
        <w:tc>
          <w:tcPr>
            <w:tcW w:w="2966" w:type="pct"/>
            <w:shd w:val="clear" w:color="auto" w:fill="auto"/>
            <w:tcMar>
              <w:top w:w="0" w:type="dxa"/>
              <w:bottom w:w="0" w:type="dxa"/>
            </w:tcMar>
            <w:vAlign w:val="center"/>
          </w:tcPr>
          <w:p w14:paraId="7F239CA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Remaining profit transferred to 2024: (11)=(9)-(10) (*)</w:t>
            </w:r>
          </w:p>
        </w:tc>
        <w:tc>
          <w:tcPr>
            <w:tcW w:w="383" w:type="pct"/>
            <w:shd w:val="clear" w:color="auto" w:fill="auto"/>
            <w:tcMar>
              <w:top w:w="0" w:type="dxa"/>
              <w:bottom w:w="0" w:type="dxa"/>
            </w:tcMar>
            <w:vAlign w:val="center"/>
          </w:tcPr>
          <w:p w14:paraId="143E69C6" w14:textId="77777777" w:rsidR="0026773C" w:rsidRPr="00217A6C" w:rsidRDefault="0026773C" w:rsidP="00217A6C">
            <w:pPr>
              <w:spacing w:after="120" w:line="360" w:lineRule="auto"/>
              <w:jc w:val="center"/>
              <w:rPr>
                <w:rFonts w:ascii="Arial" w:eastAsia="Arial" w:hAnsi="Arial" w:cs="Arial"/>
                <w:color w:val="010000"/>
                <w:sz w:val="20"/>
                <w:szCs w:val="20"/>
              </w:rPr>
            </w:pPr>
          </w:p>
        </w:tc>
        <w:tc>
          <w:tcPr>
            <w:tcW w:w="1399" w:type="pct"/>
            <w:shd w:val="clear" w:color="auto" w:fill="auto"/>
            <w:tcMar>
              <w:top w:w="0" w:type="dxa"/>
              <w:bottom w:w="0" w:type="dxa"/>
            </w:tcMar>
            <w:vAlign w:val="center"/>
          </w:tcPr>
          <w:p w14:paraId="396C8B00" w14:textId="77777777" w:rsidR="0026773C" w:rsidRPr="00217A6C" w:rsidRDefault="00217A6C" w:rsidP="00217A6C">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178,456,447,228</w:t>
            </w:r>
          </w:p>
        </w:tc>
      </w:tr>
    </w:tbl>
    <w:p w14:paraId="4395B0E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The remaining profit source is to ensure capital for the Company's production, business and investment activities.</w:t>
      </w:r>
    </w:p>
    <w:p w14:paraId="60B0A379" w14:textId="01C63591"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7: Approve the plan to issue shares to pay dividends in 2023 </w:t>
      </w:r>
    </w:p>
    <w:p w14:paraId="737C4813" w14:textId="77777777" w:rsidR="0026773C" w:rsidRPr="00217A6C" w:rsidRDefault="00217A6C" w:rsidP="00217A6C">
      <w:pPr>
        <w:numPr>
          <w:ilvl w:val="0"/>
          <w:numId w:val="4"/>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Pr>
          <w:rFonts w:ascii="Arial" w:hAnsi="Arial"/>
          <w:color w:val="010000"/>
          <w:sz w:val="20"/>
        </w:rPr>
        <w:t>Plan to issue shares to pay dividends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40"/>
        <w:gridCol w:w="402"/>
        <w:gridCol w:w="5475"/>
      </w:tblGrid>
      <w:tr w:rsidR="0026773C" w:rsidRPr="00217A6C" w14:paraId="77A5B2E5" w14:textId="77777777" w:rsidTr="00217A6C">
        <w:tc>
          <w:tcPr>
            <w:tcW w:w="1741" w:type="pct"/>
            <w:shd w:val="clear" w:color="auto" w:fill="auto"/>
            <w:tcMar>
              <w:top w:w="0" w:type="dxa"/>
              <w:bottom w:w="0" w:type="dxa"/>
            </w:tcMar>
            <w:vAlign w:val="center"/>
          </w:tcPr>
          <w:p w14:paraId="01E5E90F"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Name of share to be issued</w:t>
            </w:r>
          </w:p>
        </w:tc>
        <w:tc>
          <w:tcPr>
            <w:tcW w:w="223" w:type="pct"/>
            <w:shd w:val="clear" w:color="auto" w:fill="auto"/>
            <w:tcMar>
              <w:top w:w="0" w:type="dxa"/>
              <w:bottom w:w="0" w:type="dxa"/>
            </w:tcMar>
            <w:vAlign w:val="center"/>
          </w:tcPr>
          <w:p w14:paraId="6C2A8424"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361C52EA"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Shares of SCI Joint Stock Company</w:t>
            </w:r>
          </w:p>
        </w:tc>
      </w:tr>
      <w:tr w:rsidR="0026773C" w:rsidRPr="00217A6C" w14:paraId="2DAA6344" w14:textId="77777777" w:rsidTr="00217A6C">
        <w:tc>
          <w:tcPr>
            <w:tcW w:w="1741" w:type="pct"/>
            <w:shd w:val="clear" w:color="auto" w:fill="auto"/>
            <w:tcMar>
              <w:top w:w="0" w:type="dxa"/>
              <w:bottom w:w="0" w:type="dxa"/>
            </w:tcMar>
            <w:vAlign w:val="center"/>
          </w:tcPr>
          <w:p w14:paraId="2ACCFDDE"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type</w:t>
            </w:r>
          </w:p>
        </w:tc>
        <w:tc>
          <w:tcPr>
            <w:tcW w:w="223" w:type="pct"/>
            <w:shd w:val="clear" w:color="auto" w:fill="auto"/>
            <w:tcMar>
              <w:top w:w="0" w:type="dxa"/>
              <w:bottom w:w="0" w:type="dxa"/>
            </w:tcMar>
            <w:vAlign w:val="center"/>
          </w:tcPr>
          <w:p w14:paraId="1533FF19"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06CE2692"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Common share, freely transferable</w:t>
            </w:r>
          </w:p>
        </w:tc>
      </w:tr>
      <w:tr w:rsidR="0026773C" w:rsidRPr="00217A6C" w14:paraId="2ADD2207" w14:textId="77777777" w:rsidTr="00217A6C">
        <w:tc>
          <w:tcPr>
            <w:tcW w:w="1741" w:type="pct"/>
            <w:shd w:val="clear" w:color="auto" w:fill="auto"/>
            <w:tcMar>
              <w:top w:w="0" w:type="dxa"/>
              <w:bottom w:w="0" w:type="dxa"/>
            </w:tcMar>
            <w:vAlign w:val="center"/>
          </w:tcPr>
          <w:p w14:paraId="7CAEF254"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code</w:t>
            </w:r>
          </w:p>
        </w:tc>
        <w:tc>
          <w:tcPr>
            <w:tcW w:w="223" w:type="pct"/>
            <w:shd w:val="clear" w:color="auto" w:fill="auto"/>
            <w:tcMar>
              <w:top w:w="0" w:type="dxa"/>
              <w:bottom w:w="0" w:type="dxa"/>
            </w:tcMar>
            <w:vAlign w:val="center"/>
          </w:tcPr>
          <w:p w14:paraId="5E937D6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5B3F6A4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S99</w:t>
            </w:r>
          </w:p>
        </w:tc>
      </w:tr>
      <w:tr w:rsidR="0026773C" w:rsidRPr="00217A6C" w14:paraId="613D61C9" w14:textId="77777777" w:rsidTr="00217A6C">
        <w:tc>
          <w:tcPr>
            <w:tcW w:w="1741" w:type="pct"/>
            <w:shd w:val="clear" w:color="auto" w:fill="auto"/>
            <w:tcMar>
              <w:top w:w="0" w:type="dxa"/>
              <w:bottom w:w="0" w:type="dxa"/>
            </w:tcMar>
            <w:vAlign w:val="center"/>
          </w:tcPr>
          <w:p w14:paraId="006F202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par value</w:t>
            </w:r>
          </w:p>
        </w:tc>
        <w:tc>
          <w:tcPr>
            <w:tcW w:w="223" w:type="pct"/>
            <w:shd w:val="clear" w:color="auto" w:fill="auto"/>
            <w:tcMar>
              <w:top w:w="0" w:type="dxa"/>
              <w:bottom w:w="0" w:type="dxa"/>
            </w:tcMar>
            <w:vAlign w:val="center"/>
          </w:tcPr>
          <w:p w14:paraId="4231B8E2"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088E96D7"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10,000/share</w:t>
            </w:r>
          </w:p>
        </w:tc>
      </w:tr>
      <w:tr w:rsidR="0026773C" w:rsidRPr="00217A6C" w14:paraId="7CBAF5F7" w14:textId="77777777" w:rsidTr="00217A6C">
        <w:tc>
          <w:tcPr>
            <w:tcW w:w="1741" w:type="pct"/>
            <w:shd w:val="clear" w:color="auto" w:fill="auto"/>
            <w:tcMar>
              <w:top w:w="0" w:type="dxa"/>
              <w:bottom w:w="0" w:type="dxa"/>
            </w:tcMar>
            <w:vAlign w:val="center"/>
          </w:tcPr>
          <w:p w14:paraId="0ADD584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Number of issued shares</w:t>
            </w:r>
          </w:p>
        </w:tc>
        <w:tc>
          <w:tcPr>
            <w:tcW w:w="223" w:type="pct"/>
            <w:shd w:val="clear" w:color="auto" w:fill="auto"/>
            <w:tcMar>
              <w:top w:w="0" w:type="dxa"/>
              <w:bottom w:w="0" w:type="dxa"/>
            </w:tcMar>
            <w:vAlign w:val="center"/>
          </w:tcPr>
          <w:p w14:paraId="688F6F3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61AB1E6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93,997,369 shares</w:t>
            </w:r>
          </w:p>
        </w:tc>
      </w:tr>
      <w:tr w:rsidR="0026773C" w:rsidRPr="00217A6C" w14:paraId="1D5C5BF1" w14:textId="77777777" w:rsidTr="00217A6C">
        <w:tc>
          <w:tcPr>
            <w:tcW w:w="1741" w:type="pct"/>
            <w:shd w:val="clear" w:color="auto" w:fill="auto"/>
            <w:tcMar>
              <w:top w:w="0" w:type="dxa"/>
              <w:bottom w:w="0" w:type="dxa"/>
            </w:tcMar>
            <w:vAlign w:val="center"/>
          </w:tcPr>
          <w:p w14:paraId="2B7AF1AE"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Number of treasury shares</w:t>
            </w:r>
          </w:p>
        </w:tc>
        <w:tc>
          <w:tcPr>
            <w:tcW w:w="223" w:type="pct"/>
            <w:shd w:val="clear" w:color="auto" w:fill="auto"/>
            <w:tcMar>
              <w:top w:w="0" w:type="dxa"/>
              <w:bottom w:w="0" w:type="dxa"/>
            </w:tcMar>
            <w:vAlign w:val="center"/>
          </w:tcPr>
          <w:p w14:paraId="269657E2"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70B6515D"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0 shares</w:t>
            </w:r>
          </w:p>
        </w:tc>
      </w:tr>
      <w:tr w:rsidR="0026773C" w:rsidRPr="00217A6C" w14:paraId="3EC68D49" w14:textId="77777777" w:rsidTr="00217A6C">
        <w:tc>
          <w:tcPr>
            <w:tcW w:w="1741" w:type="pct"/>
            <w:shd w:val="clear" w:color="auto" w:fill="auto"/>
            <w:tcMar>
              <w:top w:w="0" w:type="dxa"/>
              <w:bottom w:w="0" w:type="dxa"/>
            </w:tcMar>
            <w:vAlign w:val="center"/>
          </w:tcPr>
          <w:p w14:paraId="7B3FE977"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Number of outstanding shares</w:t>
            </w:r>
          </w:p>
        </w:tc>
        <w:tc>
          <w:tcPr>
            <w:tcW w:w="223" w:type="pct"/>
            <w:shd w:val="clear" w:color="auto" w:fill="auto"/>
            <w:tcMar>
              <w:top w:w="0" w:type="dxa"/>
              <w:bottom w:w="0" w:type="dxa"/>
            </w:tcMar>
            <w:vAlign w:val="center"/>
          </w:tcPr>
          <w:p w14:paraId="5DEC6DE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5241BB9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93,997,369 shares</w:t>
            </w:r>
          </w:p>
        </w:tc>
      </w:tr>
      <w:tr w:rsidR="0026773C" w:rsidRPr="00217A6C" w14:paraId="4086D34B" w14:textId="77777777" w:rsidTr="00217A6C">
        <w:tc>
          <w:tcPr>
            <w:tcW w:w="1741" w:type="pct"/>
            <w:shd w:val="clear" w:color="auto" w:fill="auto"/>
            <w:tcMar>
              <w:top w:w="0" w:type="dxa"/>
              <w:bottom w:w="0" w:type="dxa"/>
            </w:tcMar>
            <w:vAlign w:val="center"/>
          </w:tcPr>
          <w:p w14:paraId="622705E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Expected number of shares to be issued</w:t>
            </w:r>
          </w:p>
        </w:tc>
        <w:tc>
          <w:tcPr>
            <w:tcW w:w="223" w:type="pct"/>
            <w:shd w:val="clear" w:color="auto" w:fill="auto"/>
            <w:tcMar>
              <w:top w:w="0" w:type="dxa"/>
              <w:bottom w:w="0" w:type="dxa"/>
            </w:tcMar>
            <w:vAlign w:val="center"/>
          </w:tcPr>
          <w:p w14:paraId="0E1A6DB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26EF2C65"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4,699,868 shares</w:t>
            </w:r>
          </w:p>
        </w:tc>
      </w:tr>
      <w:tr w:rsidR="0026773C" w:rsidRPr="00217A6C" w14:paraId="1EBC066A" w14:textId="77777777" w:rsidTr="00217A6C">
        <w:tc>
          <w:tcPr>
            <w:tcW w:w="1741" w:type="pct"/>
            <w:shd w:val="clear" w:color="auto" w:fill="auto"/>
            <w:tcMar>
              <w:top w:w="0" w:type="dxa"/>
              <w:bottom w:w="0" w:type="dxa"/>
            </w:tcMar>
            <w:vAlign w:val="center"/>
          </w:tcPr>
          <w:p w14:paraId="0F64AB5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value of shares expected to be issued at par value</w:t>
            </w:r>
          </w:p>
        </w:tc>
        <w:tc>
          <w:tcPr>
            <w:tcW w:w="223" w:type="pct"/>
            <w:shd w:val="clear" w:color="auto" w:fill="auto"/>
            <w:tcMar>
              <w:top w:w="0" w:type="dxa"/>
              <w:bottom w:w="0" w:type="dxa"/>
            </w:tcMar>
            <w:vAlign w:val="center"/>
          </w:tcPr>
          <w:p w14:paraId="240E83FF"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3036" w:type="pct"/>
            <w:shd w:val="clear" w:color="auto" w:fill="auto"/>
            <w:tcMar>
              <w:top w:w="0" w:type="dxa"/>
              <w:bottom w:w="0" w:type="dxa"/>
            </w:tcMar>
            <w:vAlign w:val="center"/>
          </w:tcPr>
          <w:p w14:paraId="5BEAA17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46,998,680,000</w:t>
            </w:r>
          </w:p>
          <w:p w14:paraId="5341CF56"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Hanoi Securities (HNX) in accordance with the provisions of law</w:t>
            </w:r>
          </w:p>
        </w:tc>
      </w:tr>
    </w:tbl>
    <w:p w14:paraId="2E4EC0C3" w14:textId="2C019E5E"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8: Approve the issue plan for employees under ESOP </w:t>
      </w:r>
    </w:p>
    <w:p w14:paraId="1E45D1C8"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1 Share issue plan under ESOP</w:t>
      </w:r>
    </w:p>
    <w:tbl>
      <w:tblPr>
        <w:tblStyle w:val="a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658"/>
        <w:gridCol w:w="274"/>
        <w:gridCol w:w="5079"/>
      </w:tblGrid>
      <w:tr w:rsidR="0026773C" w:rsidRPr="00217A6C" w14:paraId="1C521833" w14:textId="77777777" w:rsidTr="00217A6C">
        <w:tc>
          <w:tcPr>
            <w:tcW w:w="2030" w:type="pct"/>
            <w:shd w:val="clear" w:color="auto" w:fill="auto"/>
            <w:tcMar>
              <w:top w:w="0" w:type="dxa"/>
              <w:left w:w="20" w:type="dxa"/>
              <w:bottom w:w="0" w:type="dxa"/>
              <w:right w:w="20" w:type="dxa"/>
            </w:tcMar>
            <w:vAlign w:val="center"/>
          </w:tcPr>
          <w:p w14:paraId="778DB06E"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Name of share to be issued</w:t>
            </w:r>
          </w:p>
        </w:tc>
        <w:tc>
          <w:tcPr>
            <w:tcW w:w="152" w:type="pct"/>
            <w:shd w:val="clear" w:color="auto" w:fill="auto"/>
            <w:tcMar>
              <w:top w:w="0" w:type="dxa"/>
              <w:left w:w="20" w:type="dxa"/>
              <w:bottom w:w="0" w:type="dxa"/>
              <w:right w:w="20" w:type="dxa"/>
            </w:tcMar>
            <w:vAlign w:val="center"/>
          </w:tcPr>
          <w:p w14:paraId="11B676CE"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1FF886A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Shares of SCI Joint Stock Company</w:t>
            </w:r>
          </w:p>
        </w:tc>
      </w:tr>
      <w:tr w:rsidR="0026773C" w:rsidRPr="00217A6C" w14:paraId="5640912F" w14:textId="77777777" w:rsidTr="00217A6C">
        <w:tc>
          <w:tcPr>
            <w:tcW w:w="2030" w:type="pct"/>
            <w:shd w:val="clear" w:color="auto" w:fill="auto"/>
            <w:tcMar>
              <w:top w:w="0" w:type="dxa"/>
              <w:left w:w="20" w:type="dxa"/>
              <w:bottom w:w="0" w:type="dxa"/>
              <w:right w:w="20" w:type="dxa"/>
            </w:tcMar>
            <w:vAlign w:val="center"/>
          </w:tcPr>
          <w:p w14:paraId="14770F1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 type</w:t>
            </w:r>
          </w:p>
        </w:tc>
        <w:tc>
          <w:tcPr>
            <w:tcW w:w="152" w:type="pct"/>
            <w:shd w:val="clear" w:color="auto" w:fill="auto"/>
            <w:tcMar>
              <w:top w:w="0" w:type="dxa"/>
              <w:left w:w="20" w:type="dxa"/>
              <w:bottom w:w="0" w:type="dxa"/>
              <w:right w:w="20" w:type="dxa"/>
            </w:tcMar>
            <w:vAlign w:val="center"/>
          </w:tcPr>
          <w:p w14:paraId="368B4997"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1892E3F9"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Common share, freely transferable</w:t>
            </w:r>
          </w:p>
        </w:tc>
      </w:tr>
      <w:tr w:rsidR="0026773C" w:rsidRPr="00217A6C" w14:paraId="6A68B17C" w14:textId="77777777" w:rsidTr="00217A6C">
        <w:tc>
          <w:tcPr>
            <w:tcW w:w="2030" w:type="pct"/>
            <w:shd w:val="clear" w:color="auto" w:fill="auto"/>
            <w:tcMar>
              <w:top w:w="0" w:type="dxa"/>
              <w:left w:w="20" w:type="dxa"/>
              <w:bottom w:w="0" w:type="dxa"/>
              <w:right w:w="20" w:type="dxa"/>
            </w:tcMar>
            <w:vAlign w:val="center"/>
          </w:tcPr>
          <w:p w14:paraId="060EAE17"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 code</w:t>
            </w:r>
          </w:p>
        </w:tc>
        <w:tc>
          <w:tcPr>
            <w:tcW w:w="152" w:type="pct"/>
            <w:shd w:val="clear" w:color="auto" w:fill="auto"/>
            <w:tcMar>
              <w:top w:w="0" w:type="dxa"/>
              <w:left w:w="20" w:type="dxa"/>
              <w:bottom w:w="0" w:type="dxa"/>
              <w:right w:w="20" w:type="dxa"/>
            </w:tcMar>
            <w:vAlign w:val="center"/>
          </w:tcPr>
          <w:p w14:paraId="7C395F0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4000667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S99</w:t>
            </w:r>
          </w:p>
        </w:tc>
      </w:tr>
      <w:tr w:rsidR="0026773C" w:rsidRPr="00217A6C" w14:paraId="0CD02E0F" w14:textId="77777777" w:rsidTr="00217A6C">
        <w:tc>
          <w:tcPr>
            <w:tcW w:w="2030" w:type="pct"/>
            <w:shd w:val="clear" w:color="auto" w:fill="auto"/>
            <w:tcMar>
              <w:top w:w="0" w:type="dxa"/>
              <w:left w:w="20" w:type="dxa"/>
              <w:bottom w:w="0" w:type="dxa"/>
              <w:right w:w="20" w:type="dxa"/>
            </w:tcMar>
            <w:vAlign w:val="center"/>
          </w:tcPr>
          <w:p w14:paraId="4D6DC759"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 par value</w:t>
            </w:r>
          </w:p>
        </w:tc>
        <w:tc>
          <w:tcPr>
            <w:tcW w:w="152" w:type="pct"/>
            <w:shd w:val="clear" w:color="auto" w:fill="auto"/>
            <w:tcMar>
              <w:top w:w="0" w:type="dxa"/>
              <w:left w:w="20" w:type="dxa"/>
              <w:bottom w:w="0" w:type="dxa"/>
              <w:right w:w="20" w:type="dxa"/>
            </w:tcMar>
            <w:vAlign w:val="center"/>
          </w:tcPr>
          <w:p w14:paraId="0785915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2A25F261"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VND 10,000/share</w:t>
            </w:r>
          </w:p>
        </w:tc>
      </w:tr>
      <w:tr w:rsidR="0026773C" w:rsidRPr="00217A6C" w14:paraId="39C9FD43" w14:textId="77777777" w:rsidTr="00217A6C">
        <w:tc>
          <w:tcPr>
            <w:tcW w:w="2030" w:type="pct"/>
            <w:shd w:val="clear" w:color="auto" w:fill="auto"/>
            <w:tcMar>
              <w:top w:w="0" w:type="dxa"/>
              <w:left w:w="20" w:type="dxa"/>
              <w:bottom w:w="0" w:type="dxa"/>
              <w:right w:w="20" w:type="dxa"/>
            </w:tcMar>
            <w:vAlign w:val="center"/>
          </w:tcPr>
          <w:p w14:paraId="2983BF7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Number of issued shares</w:t>
            </w:r>
          </w:p>
        </w:tc>
        <w:tc>
          <w:tcPr>
            <w:tcW w:w="152" w:type="pct"/>
            <w:shd w:val="clear" w:color="auto" w:fill="auto"/>
            <w:tcMar>
              <w:top w:w="0" w:type="dxa"/>
              <w:left w:w="20" w:type="dxa"/>
              <w:bottom w:w="0" w:type="dxa"/>
              <w:right w:w="20" w:type="dxa"/>
            </w:tcMar>
            <w:vAlign w:val="center"/>
          </w:tcPr>
          <w:p w14:paraId="3E5596D8"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7488A90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93,997,369 shares</w:t>
            </w:r>
          </w:p>
        </w:tc>
      </w:tr>
      <w:tr w:rsidR="0026773C" w:rsidRPr="00217A6C" w14:paraId="1318CDE8" w14:textId="77777777" w:rsidTr="00217A6C">
        <w:tc>
          <w:tcPr>
            <w:tcW w:w="2030" w:type="pct"/>
            <w:shd w:val="clear" w:color="auto" w:fill="auto"/>
            <w:tcMar>
              <w:top w:w="0" w:type="dxa"/>
              <w:left w:w="20" w:type="dxa"/>
              <w:bottom w:w="0" w:type="dxa"/>
              <w:right w:w="20" w:type="dxa"/>
            </w:tcMar>
            <w:vAlign w:val="center"/>
          </w:tcPr>
          <w:p w14:paraId="1505CD5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Number of treasury shares</w:t>
            </w:r>
          </w:p>
        </w:tc>
        <w:tc>
          <w:tcPr>
            <w:tcW w:w="152" w:type="pct"/>
            <w:shd w:val="clear" w:color="auto" w:fill="auto"/>
            <w:tcMar>
              <w:top w:w="0" w:type="dxa"/>
              <w:left w:w="20" w:type="dxa"/>
              <w:bottom w:w="0" w:type="dxa"/>
              <w:right w:w="20" w:type="dxa"/>
            </w:tcMar>
            <w:vAlign w:val="center"/>
          </w:tcPr>
          <w:p w14:paraId="1AA2EF20"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77BC6FC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0 shares</w:t>
            </w:r>
          </w:p>
        </w:tc>
      </w:tr>
      <w:tr w:rsidR="0026773C" w:rsidRPr="00217A6C" w14:paraId="6F732E6E" w14:textId="77777777" w:rsidTr="00217A6C">
        <w:tc>
          <w:tcPr>
            <w:tcW w:w="2030" w:type="pct"/>
            <w:shd w:val="clear" w:color="auto" w:fill="auto"/>
            <w:tcMar>
              <w:top w:w="0" w:type="dxa"/>
              <w:left w:w="20" w:type="dxa"/>
              <w:bottom w:w="0" w:type="dxa"/>
              <w:right w:w="20" w:type="dxa"/>
            </w:tcMar>
            <w:vAlign w:val="center"/>
          </w:tcPr>
          <w:p w14:paraId="39A00224"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lastRenderedPageBreak/>
              <w:t>Number of outstanding shares</w:t>
            </w:r>
          </w:p>
        </w:tc>
        <w:tc>
          <w:tcPr>
            <w:tcW w:w="152" w:type="pct"/>
            <w:shd w:val="clear" w:color="auto" w:fill="auto"/>
            <w:tcMar>
              <w:top w:w="0" w:type="dxa"/>
              <w:left w:w="20" w:type="dxa"/>
              <w:bottom w:w="0" w:type="dxa"/>
              <w:right w:w="20" w:type="dxa"/>
            </w:tcMar>
            <w:vAlign w:val="center"/>
          </w:tcPr>
          <w:p w14:paraId="4A7EF62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03B5C5D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93,997,369 shares</w:t>
            </w:r>
          </w:p>
        </w:tc>
      </w:tr>
      <w:tr w:rsidR="0026773C" w:rsidRPr="00217A6C" w14:paraId="56D5EB5F" w14:textId="77777777" w:rsidTr="00217A6C">
        <w:tc>
          <w:tcPr>
            <w:tcW w:w="2030" w:type="pct"/>
            <w:shd w:val="clear" w:color="auto" w:fill="auto"/>
            <w:tcMar>
              <w:top w:w="0" w:type="dxa"/>
              <w:left w:w="20" w:type="dxa"/>
              <w:bottom w:w="0" w:type="dxa"/>
              <w:right w:w="20" w:type="dxa"/>
            </w:tcMar>
            <w:vAlign w:val="center"/>
          </w:tcPr>
          <w:p w14:paraId="30C918B0"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Expected number of shares to be issued</w:t>
            </w:r>
          </w:p>
        </w:tc>
        <w:tc>
          <w:tcPr>
            <w:tcW w:w="152" w:type="pct"/>
            <w:shd w:val="clear" w:color="auto" w:fill="auto"/>
            <w:tcMar>
              <w:top w:w="0" w:type="dxa"/>
              <w:left w:w="20" w:type="dxa"/>
              <w:bottom w:w="0" w:type="dxa"/>
              <w:right w:w="20" w:type="dxa"/>
            </w:tcMar>
            <w:vAlign w:val="center"/>
          </w:tcPr>
          <w:p w14:paraId="2DC4F2F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77AA2EE4"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2,819,921 shares</w:t>
            </w:r>
          </w:p>
        </w:tc>
      </w:tr>
      <w:tr w:rsidR="0026773C" w:rsidRPr="00217A6C" w14:paraId="0D7BA75B" w14:textId="77777777" w:rsidTr="00217A6C">
        <w:tc>
          <w:tcPr>
            <w:tcW w:w="2030" w:type="pct"/>
            <w:shd w:val="clear" w:color="auto" w:fill="auto"/>
            <w:tcMar>
              <w:top w:w="0" w:type="dxa"/>
              <w:left w:w="20" w:type="dxa"/>
              <w:bottom w:w="0" w:type="dxa"/>
              <w:right w:w="20" w:type="dxa"/>
            </w:tcMar>
            <w:vAlign w:val="center"/>
          </w:tcPr>
          <w:p w14:paraId="67B36FCE"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Total value of shares expected to be issued at par value</w:t>
            </w:r>
          </w:p>
        </w:tc>
        <w:tc>
          <w:tcPr>
            <w:tcW w:w="152" w:type="pct"/>
            <w:shd w:val="clear" w:color="auto" w:fill="auto"/>
            <w:tcMar>
              <w:top w:w="0" w:type="dxa"/>
              <w:left w:w="20" w:type="dxa"/>
              <w:bottom w:w="0" w:type="dxa"/>
              <w:right w:w="20" w:type="dxa"/>
            </w:tcMar>
            <w:vAlign w:val="center"/>
          </w:tcPr>
          <w:p w14:paraId="69D518EF"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2F2A86A1"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VND 28,199,210,000</w:t>
            </w:r>
          </w:p>
        </w:tc>
      </w:tr>
      <w:tr w:rsidR="0026773C" w:rsidRPr="00217A6C" w14:paraId="2157977B" w14:textId="77777777" w:rsidTr="00217A6C">
        <w:tc>
          <w:tcPr>
            <w:tcW w:w="2030" w:type="pct"/>
            <w:shd w:val="clear" w:color="auto" w:fill="auto"/>
            <w:tcMar>
              <w:top w:w="0" w:type="dxa"/>
              <w:left w:w="20" w:type="dxa"/>
              <w:bottom w:w="0" w:type="dxa"/>
              <w:right w:w="20" w:type="dxa"/>
            </w:tcMar>
            <w:vAlign w:val="center"/>
          </w:tcPr>
          <w:p w14:paraId="5BD011DE"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Issue rate (expected number of shares to be issued/number of outstanding shares)</w:t>
            </w:r>
          </w:p>
        </w:tc>
        <w:tc>
          <w:tcPr>
            <w:tcW w:w="152" w:type="pct"/>
            <w:shd w:val="clear" w:color="auto" w:fill="auto"/>
            <w:tcMar>
              <w:top w:w="0" w:type="dxa"/>
              <w:left w:w="20" w:type="dxa"/>
              <w:bottom w:w="0" w:type="dxa"/>
              <w:right w:w="20" w:type="dxa"/>
            </w:tcMar>
            <w:vAlign w:val="center"/>
          </w:tcPr>
          <w:p w14:paraId="584A5A3F"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3775129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3%</w:t>
            </w:r>
          </w:p>
        </w:tc>
      </w:tr>
      <w:tr w:rsidR="0026773C" w:rsidRPr="00217A6C" w14:paraId="3352D5E2" w14:textId="77777777" w:rsidTr="00217A6C">
        <w:tc>
          <w:tcPr>
            <w:tcW w:w="2030" w:type="pct"/>
            <w:shd w:val="clear" w:color="auto" w:fill="auto"/>
            <w:tcMar>
              <w:top w:w="0" w:type="dxa"/>
              <w:left w:w="20" w:type="dxa"/>
              <w:bottom w:w="0" w:type="dxa"/>
              <w:right w:w="20" w:type="dxa"/>
            </w:tcMar>
            <w:vAlign w:val="center"/>
          </w:tcPr>
          <w:p w14:paraId="385B14F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Issue form</w:t>
            </w:r>
          </w:p>
        </w:tc>
        <w:tc>
          <w:tcPr>
            <w:tcW w:w="152" w:type="pct"/>
            <w:shd w:val="clear" w:color="auto" w:fill="auto"/>
            <w:tcMar>
              <w:top w:w="0" w:type="dxa"/>
              <w:left w:w="20" w:type="dxa"/>
              <w:bottom w:w="0" w:type="dxa"/>
              <w:right w:w="20" w:type="dxa"/>
            </w:tcMar>
            <w:vAlign w:val="center"/>
          </w:tcPr>
          <w:p w14:paraId="1940F672"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6C3B204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 issuance under ESOP</w:t>
            </w:r>
          </w:p>
        </w:tc>
      </w:tr>
      <w:tr w:rsidR="0026773C" w:rsidRPr="00217A6C" w14:paraId="771806B8" w14:textId="77777777" w:rsidTr="00217A6C">
        <w:tc>
          <w:tcPr>
            <w:tcW w:w="2030" w:type="pct"/>
            <w:shd w:val="clear" w:color="auto" w:fill="auto"/>
            <w:tcMar>
              <w:top w:w="0" w:type="dxa"/>
              <w:left w:w="20" w:type="dxa"/>
              <w:bottom w:w="0" w:type="dxa"/>
              <w:right w:w="20" w:type="dxa"/>
            </w:tcMar>
            <w:vAlign w:val="center"/>
          </w:tcPr>
          <w:p w14:paraId="0BE403A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Subject of the issuance</w:t>
            </w:r>
          </w:p>
        </w:tc>
        <w:tc>
          <w:tcPr>
            <w:tcW w:w="152" w:type="pct"/>
            <w:shd w:val="clear" w:color="auto" w:fill="auto"/>
            <w:tcMar>
              <w:top w:w="0" w:type="dxa"/>
              <w:left w:w="20" w:type="dxa"/>
              <w:bottom w:w="0" w:type="dxa"/>
              <w:right w:w="20" w:type="dxa"/>
            </w:tcMar>
            <w:vAlign w:val="center"/>
          </w:tcPr>
          <w:p w14:paraId="456D4BF3"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0D079627"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Members of the Board of Directors, members of the Board of Management and managers of the Company. The General Meeting of Shareholders authorizes the Board of Directors to approve the standards and list of employees participating in the program and principles for determining the number of shares distributed to each subject.</w:t>
            </w:r>
          </w:p>
        </w:tc>
      </w:tr>
      <w:tr w:rsidR="0026773C" w:rsidRPr="00217A6C" w14:paraId="71BE0BC6" w14:textId="77777777" w:rsidTr="00217A6C">
        <w:tc>
          <w:tcPr>
            <w:tcW w:w="2030" w:type="pct"/>
            <w:shd w:val="clear" w:color="auto" w:fill="auto"/>
            <w:tcMar>
              <w:top w:w="0" w:type="dxa"/>
              <w:left w:w="20" w:type="dxa"/>
              <w:bottom w:w="0" w:type="dxa"/>
              <w:right w:w="20" w:type="dxa"/>
            </w:tcMar>
            <w:vAlign w:val="center"/>
          </w:tcPr>
          <w:p w14:paraId="6FC6B5A8"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Offering price</w:t>
            </w:r>
          </w:p>
        </w:tc>
        <w:tc>
          <w:tcPr>
            <w:tcW w:w="152" w:type="pct"/>
            <w:shd w:val="clear" w:color="auto" w:fill="auto"/>
            <w:tcMar>
              <w:top w:w="0" w:type="dxa"/>
              <w:left w:w="20" w:type="dxa"/>
              <w:bottom w:w="0" w:type="dxa"/>
              <w:right w:w="20" w:type="dxa"/>
            </w:tcMar>
            <w:vAlign w:val="center"/>
          </w:tcPr>
          <w:p w14:paraId="3533CEC4"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1F8FFBD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VND 10,000/share</w:t>
            </w:r>
          </w:p>
        </w:tc>
      </w:tr>
      <w:tr w:rsidR="0026773C" w:rsidRPr="00217A6C" w14:paraId="6D437807" w14:textId="77777777" w:rsidTr="00217A6C">
        <w:tc>
          <w:tcPr>
            <w:tcW w:w="2030" w:type="pct"/>
            <w:shd w:val="clear" w:color="auto" w:fill="auto"/>
            <w:tcMar>
              <w:top w:w="0" w:type="dxa"/>
              <w:left w:w="20" w:type="dxa"/>
              <w:bottom w:w="0" w:type="dxa"/>
              <w:right w:w="20" w:type="dxa"/>
            </w:tcMar>
            <w:vAlign w:val="center"/>
          </w:tcPr>
          <w:p w14:paraId="22D69781"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Expected issue time</w:t>
            </w:r>
          </w:p>
        </w:tc>
        <w:tc>
          <w:tcPr>
            <w:tcW w:w="152" w:type="pct"/>
            <w:shd w:val="clear" w:color="auto" w:fill="auto"/>
            <w:tcMar>
              <w:top w:w="0" w:type="dxa"/>
              <w:left w:w="20" w:type="dxa"/>
              <w:bottom w:w="0" w:type="dxa"/>
              <w:right w:w="20" w:type="dxa"/>
            </w:tcMar>
            <w:vAlign w:val="center"/>
          </w:tcPr>
          <w:p w14:paraId="1D7EEAFC"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29098516"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In 2024; the Board of Directors decides on a specific time after receiving written approval from the State Securities Commission.</w:t>
            </w:r>
          </w:p>
        </w:tc>
      </w:tr>
      <w:tr w:rsidR="0026773C" w:rsidRPr="00217A6C" w14:paraId="7CF24F46" w14:textId="77777777" w:rsidTr="00217A6C">
        <w:tc>
          <w:tcPr>
            <w:tcW w:w="2030" w:type="pct"/>
            <w:shd w:val="clear" w:color="auto" w:fill="auto"/>
            <w:tcMar>
              <w:top w:w="0" w:type="dxa"/>
              <w:left w:w="20" w:type="dxa"/>
              <w:bottom w:w="0" w:type="dxa"/>
              <w:right w:w="20" w:type="dxa"/>
            </w:tcMar>
            <w:vAlign w:val="center"/>
          </w:tcPr>
          <w:p w14:paraId="506098F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Capital use plan</w:t>
            </w:r>
          </w:p>
        </w:tc>
        <w:tc>
          <w:tcPr>
            <w:tcW w:w="152" w:type="pct"/>
            <w:shd w:val="clear" w:color="auto" w:fill="auto"/>
            <w:tcMar>
              <w:top w:w="0" w:type="dxa"/>
              <w:left w:w="20" w:type="dxa"/>
              <w:bottom w:w="0" w:type="dxa"/>
              <w:right w:w="20" w:type="dxa"/>
            </w:tcMar>
            <w:vAlign w:val="center"/>
          </w:tcPr>
          <w:p w14:paraId="24D9B984"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4FAEB8BF"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Total expected proceeds from the issuance: VND 28,199,210,000. This entire proceeds will be used to supplement working capital for the Company's production and business activities.</w:t>
            </w:r>
          </w:p>
        </w:tc>
      </w:tr>
      <w:tr w:rsidR="0026773C" w:rsidRPr="00217A6C" w14:paraId="28C3F554" w14:textId="77777777" w:rsidTr="00217A6C">
        <w:tc>
          <w:tcPr>
            <w:tcW w:w="2030" w:type="pct"/>
            <w:shd w:val="clear" w:color="auto" w:fill="auto"/>
            <w:tcMar>
              <w:top w:w="0" w:type="dxa"/>
              <w:left w:w="20" w:type="dxa"/>
              <w:bottom w:w="0" w:type="dxa"/>
              <w:right w:w="20" w:type="dxa"/>
            </w:tcMar>
            <w:vAlign w:val="center"/>
          </w:tcPr>
          <w:p w14:paraId="76D8331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Transfer of purchase rights</w:t>
            </w:r>
          </w:p>
        </w:tc>
        <w:tc>
          <w:tcPr>
            <w:tcW w:w="152" w:type="pct"/>
            <w:shd w:val="clear" w:color="auto" w:fill="auto"/>
            <w:tcMar>
              <w:top w:w="0" w:type="dxa"/>
              <w:left w:w="20" w:type="dxa"/>
              <w:bottom w:w="0" w:type="dxa"/>
              <w:right w:w="20" w:type="dxa"/>
            </w:tcMar>
            <w:vAlign w:val="center"/>
          </w:tcPr>
          <w:p w14:paraId="5F2D6441"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6B6BFC89"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Employees participating in ESOP are not allowed to transfer share purchase rights to others.</w:t>
            </w:r>
          </w:p>
        </w:tc>
      </w:tr>
      <w:tr w:rsidR="0026773C" w:rsidRPr="00217A6C" w14:paraId="0FB261F9" w14:textId="77777777" w:rsidTr="00217A6C">
        <w:tc>
          <w:tcPr>
            <w:tcW w:w="2030" w:type="pct"/>
            <w:shd w:val="clear" w:color="auto" w:fill="auto"/>
            <w:tcMar>
              <w:top w:w="0" w:type="dxa"/>
              <w:left w:w="20" w:type="dxa"/>
              <w:bottom w:w="0" w:type="dxa"/>
              <w:right w:w="20" w:type="dxa"/>
            </w:tcMar>
            <w:vAlign w:val="center"/>
          </w:tcPr>
          <w:p w14:paraId="00A75E2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Handling of shares that the employee does not exercise the purchase rights</w:t>
            </w:r>
          </w:p>
        </w:tc>
        <w:tc>
          <w:tcPr>
            <w:tcW w:w="152" w:type="pct"/>
            <w:shd w:val="clear" w:color="auto" w:fill="auto"/>
            <w:tcMar>
              <w:top w:w="0" w:type="dxa"/>
              <w:left w:w="20" w:type="dxa"/>
              <w:bottom w:w="0" w:type="dxa"/>
              <w:right w:w="20" w:type="dxa"/>
            </w:tcMar>
            <w:vAlign w:val="center"/>
          </w:tcPr>
          <w:p w14:paraId="2FD4A2D7"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0B77D851"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The Board of Directors continues to sell to employees who qualify to participate in ESOP (including employees who have purchased shares under ESOP and wish to increase their share ownership) with the selling price and transfer restriction period remaining unchanged.</w:t>
            </w:r>
          </w:p>
        </w:tc>
      </w:tr>
      <w:tr w:rsidR="0026773C" w:rsidRPr="00217A6C" w14:paraId="3DEA55C3" w14:textId="77777777" w:rsidTr="00217A6C">
        <w:tc>
          <w:tcPr>
            <w:tcW w:w="2030" w:type="pct"/>
            <w:shd w:val="clear" w:color="auto" w:fill="auto"/>
            <w:tcMar>
              <w:top w:w="0" w:type="dxa"/>
              <w:left w:w="20" w:type="dxa"/>
              <w:bottom w:w="0" w:type="dxa"/>
              <w:right w:w="20" w:type="dxa"/>
            </w:tcMar>
            <w:vAlign w:val="center"/>
          </w:tcPr>
          <w:p w14:paraId="496554A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Transfer restriction</w:t>
            </w:r>
          </w:p>
        </w:tc>
        <w:tc>
          <w:tcPr>
            <w:tcW w:w="152" w:type="pct"/>
            <w:shd w:val="clear" w:color="auto" w:fill="auto"/>
            <w:tcMar>
              <w:top w:w="0" w:type="dxa"/>
              <w:left w:w="20" w:type="dxa"/>
              <w:bottom w:w="0" w:type="dxa"/>
              <w:right w:w="20" w:type="dxa"/>
            </w:tcMar>
            <w:vAlign w:val="center"/>
          </w:tcPr>
          <w:p w14:paraId="4F6E506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560FF9A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Shares offered to employees under ESOP will be restricted from transfer for 1 year from the date of ending the offering.</w:t>
            </w:r>
          </w:p>
        </w:tc>
      </w:tr>
      <w:tr w:rsidR="0026773C" w:rsidRPr="00217A6C" w14:paraId="3B379DCC" w14:textId="77777777" w:rsidTr="00217A6C">
        <w:tc>
          <w:tcPr>
            <w:tcW w:w="2030" w:type="pct"/>
            <w:shd w:val="clear" w:color="auto" w:fill="auto"/>
            <w:tcMar>
              <w:top w:w="0" w:type="dxa"/>
              <w:left w:w="20" w:type="dxa"/>
              <w:bottom w:w="0" w:type="dxa"/>
              <w:right w:w="20" w:type="dxa"/>
            </w:tcMar>
            <w:vAlign w:val="center"/>
          </w:tcPr>
          <w:p w14:paraId="61E8F39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 xml:space="preserve">Regulations of share offering under ESOP </w:t>
            </w:r>
          </w:p>
        </w:tc>
        <w:tc>
          <w:tcPr>
            <w:tcW w:w="152" w:type="pct"/>
            <w:shd w:val="clear" w:color="auto" w:fill="auto"/>
            <w:tcMar>
              <w:top w:w="0" w:type="dxa"/>
              <w:left w:w="20" w:type="dxa"/>
              <w:bottom w:w="0" w:type="dxa"/>
              <w:right w:w="20" w:type="dxa"/>
            </w:tcMar>
            <w:vAlign w:val="center"/>
          </w:tcPr>
          <w:p w14:paraId="40D64C03"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782EEC99"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 xml:space="preserve">The General Meeting of Shareholders approves and authorizes the Board of Directors to establish the ESOP </w:t>
            </w:r>
            <w:r>
              <w:rPr>
                <w:rFonts w:ascii="Arial" w:hAnsi="Arial"/>
                <w:color w:val="010000"/>
                <w:sz w:val="20"/>
              </w:rPr>
              <w:lastRenderedPageBreak/>
              <w:t>Executive Board, develop regulations of share offering under ESOP and specific offering plan, clearly stipulate the standards and list of employees eligible to participate in ESOP, rights and obligations related (if any) to shares offered under ESOP,</w:t>
            </w:r>
            <w:r>
              <w:rPr>
                <w:rFonts w:ascii="Arial" w:hAnsi="Arial"/>
                <w:color w:val="010000"/>
                <w:sz w:val="20"/>
              </w:rPr>
              <w:cr/>
            </w:r>
            <w:r>
              <w:rPr>
                <w:rFonts w:ascii="Arial" w:hAnsi="Arial"/>
                <w:color w:val="010000"/>
                <w:sz w:val="20"/>
              </w:rPr>
              <w:br/>
              <w:t>decide who can participate in the program, decide and handle issues related to ESOP, and adjust program changes (if any) in accordance with the provisions of law.</w:t>
            </w:r>
          </w:p>
        </w:tc>
      </w:tr>
      <w:tr w:rsidR="0026773C" w:rsidRPr="00217A6C" w14:paraId="327B7FF6" w14:textId="77777777" w:rsidTr="00217A6C">
        <w:tc>
          <w:tcPr>
            <w:tcW w:w="2030" w:type="pct"/>
            <w:shd w:val="clear" w:color="auto" w:fill="auto"/>
            <w:tcMar>
              <w:top w:w="0" w:type="dxa"/>
              <w:left w:w="20" w:type="dxa"/>
              <w:bottom w:w="0" w:type="dxa"/>
              <w:right w:w="20" w:type="dxa"/>
            </w:tcMar>
            <w:vAlign w:val="center"/>
          </w:tcPr>
          <w:p w14:paraId="5FAD6A7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lastRenderedPageBreak/>
              <w:t>Plan to ensure the share issuance meets regulations on maximum foreign ownership rate at the Company</w:t>
            </w:r>
          </w:p>
        </w:tc>
        <w:tc>
          <w:tcPr>
            <w:tcW w:w="152" w:type="pct"/>
            <w:shd w:val="clear" w:color="auto" w:fill="auto"/>
            <w:tcMar>
              <w:top w:w="0" w:type="dxa"/>
              <w:left w:w="20" w:type="dxa"/>
              <w:bottom w:w="0" w:type="dxa"/>
              <w:right w:w="20" w:type="dxa"/>
            </w:tcMar>
            <w:vAlign w:val="center"/>
          </w:tcPr>
          <w:p w14:paraId="1AD9F20F"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w:t>
            </w:r>
          </w:p>
        </w:tc>
        <w:tc>
          <w:tcPr>
            <w:tcW w:w="2818" w:type="pct"/>
            <w:shd w:val="clear" w:color="auto" w:fill="auto"/>
            <w:tcMar>
              <w:top w:w="0" w:type="dxa"/>
              <w:left w:w="20" w:type="dxa"/>
              <w:bottom w:w="0" w:type="dxa"/>
              <w:right w:w="20" w:type="dxa"/>
            </w:tcMar>
            <w:vAlign w:val="center"/>
          </w:tcPr>
          <w:p w14:paraId="3627DDF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The General Meeting of Shareholders authorizes the Board of Directors to develop and approve the plan to ensure the share issuance meets regulations on maximum foreign ownership rate at the Company.</w:t>
            </w:r>
          </w:p>
        </w:tc>
      </w:tr>
    </w:tbl>
    <w:p w14:paraId="46E8C66D" w14:textId="552559CF"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9: Approve the plan to offer additional shares to the public to existing shareholders </w:t>
      </w:r>
    </w:p>
    <w:p w14:paraId="6B111711" w14:textId="77777777" w:rsidR="0026773C" w:rsidRPr="00217A6C" w:rsidRDefault="00217A6C" w:rsidP="00217A6C">
      <w:pPr>
        <w:numPr>
          <w:ilvl w:val="0"/>
          <w:numId w:val="5"/>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Plan to offer shares to increase charter capital</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14"/>
        <w:gridCol w:w="3803"/>
      </w:tblGrid>
      <w:tr w:rsidR="0026773C" w:rsidRPr="00217A6C" w14:paraId="377E8D6D" w14:textId="77777777" w:rsidTr="00217A6C">
        <w:tc>
          <w:tcPr>
            <w:tcW w:w="2891" w:type="pct"/>
            <w:shd w:val="clear" w:color="auto" w:fill="auto"/>
            <w:tcMar>
              <w:top w:w="0" w:type="dxa"/>
              <w:bottom w:w="0" w:type="dxa"/>
            </w:tcMar>
            <w:vAlign w:val="center"/>
          </w:tcPr>
          <w:p w14:paraId="09AECE5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name:</w:t>
            </w:r>
          </w:p>
        </w:tc>
        <w:tc>
          <w:tcPr>
            <w:tcW w:w="2109" w:type="pct"/>
            <w:shd w:val="clear" w:color="auto" w:fill="auto"/>
            <w:tcMar>
              <w:top w:w="0" w:type="dxa"/>
              <w:bottom w:w="0" w:type="dxa"/>
            </w:tcMar>
            <w:vAlign w:val="center"/>
          </w:tcPr>
          <w:p w14:paraId="122F312F"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Shares of SCI Joint Stock Company</w:t>
            </w:r>
          </w:p>
        </w:tc>
      </w:tr>
      <w:tr w:rsidR="0026773C" w:rsidRPr="00217A6C" w14:paraId="3C56F26C" w14:textId="77777777" w:rsidTr="00217A6C">
        <w:tc>
          <w:tcPr>
            <w:tcW w:w="2891" w:type="pct"/>
            <w:shd w:val="clear" w:color="auto" w:fill="auto"/>
            <w:tcMar>
              <w:top w:w="0" w:type="dxa"/>
              <w:bottom w:w="0" w:type="dxa"/>
            </w:tcMar>
            <w:vAlign w:val="center"/>
          </w:tcPr>
          <w:p w14:paraId="0D044EAA"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Securities code:</w:t>
            </w:r>
          </w:p>
        </w:tc>
        <w:tc>
          <w:tcPr>
            <w:tcW w:w="2109" w:type="pct"/>
            <w:shd w:val="clear" w:color="auto" w:fill="auto"/>
            <w:tcMar>
              <w:top w:w="0" w:type="dxa"/>
              <w:bottom w:w="0" w:type="dxa"/>
            </w:tcMar>
            <w:vAlign w:val="center"/>
          </w:tcPr>
          <w:p w14:paraId="794A8ED8"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S99</w:t>
            </w:r>
          </w:p>
        </w:tc>
      </w:tr>
      <w:tr w:rsidR="0026773C" w:rsidRPr="00217A6C" w14:paraId="381F66C5" w14:textId="77777777" w:rsidTr="00217A6C">
        <w:tc>
          <w:tcPr>
            <w:tcW w:w="2891" w:type="pct"/>
            <w:shd w:val="clear" w:color="auto" w:fill="auto"/>
            <w:tcMar>
              <w:top w:w="0" w:type="dxa"/>
              <w:bottom w:w="0" w:type="dxa"/>
            </w:tcMar>
            <w:vAlign w:val="center"/>
          </w:tcPr>
          <w:p w14:paraId="6E9F001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type:</w:t>
            </w:r>
          </w:p>
        </w:tc>
        <w:tc>
          <w:tcPr>
            <w:tcW w:w="2109" w:type="pct"/>
            <w:shd w:val="clear" w:color="auto" w:fill="auto"/>
            <w:tcMar>
              <w:top w:w="0" w:type="dxa"/>
              <w:bottom w:w="0" w:type="dxa"/>
            </w:tcMar>
            <w:vAlign w:val="center"/>
          </w:tcPr>
          <w:p w14:paraId="64D41B12"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Common share</w:t>
            </w:r>
          </w:p>
        </w:tc>
      </w:tr>
      <w:tr w:rsidR="0026773C" w:rsidRPr="00217A6C" w14:paraId="40706B51" w14:textId="77777777" w:rsidTr="00217A6C">
        <w:tc>
          <w:tcPr>
            <w:tcW w:w="2891" w:type="pct"/>
            <w:shd w:val="clear" w:color="auto" w:fill="auto"/>
            <w:tcMar>
              <w:top w:w="0" w:type="dxa"/>
              <w:bottom w:w="0" w:type="dxa"/>
            </w:tcMar>
            <w:vAlign w:val="center"/>
          </w:tcPr>
          <w:p w14:paraId="27B6564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Share par value:</w:t>
            </w:r>
          </w:p>
        </w:tc>
        <w:tc>
          <w:tcPr>
            <w:tcW w:w="2109" w:type="pct"/>
            <w:shd w:val="clear" w:color="auto" w:fill="auto"/>
            <w:tcMar>
              <w:top w:w="0" w:type="dxa"/>
              <w:bottom w:w="0" w:type="dxa"/>
            </w:tcMar>
            <w:vAlign w:val="center"/>
          </w:tcPr>
          <w:p w14:paraId="1917C86B"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10,000/share</w:t>
            </w:r>
          </w:p>
        </w:tc>
      </w:tr>
      <w:tr w:rsidR="0026773C" w:rsidRPr="00217A6C" w14:paraId="6C8447AC" w14:textId="77777777" w:rsidTr="00217A6C">
        <w:tc>
          <w:tcPr>
            <w:tcW w:w="2891" w:type="pct"/>
            <w:shd w:val="clear" w:color="auto" w:fill="auto"/>
            <w:tcMar>
              <w:top w:w="0" w:type="dxa"/>
              <w:bottom w:w="0" w:type="dxa"/>
            </w:tcMar>
            <w:vAlign w:val="center"/>
          </w:tcPr>
          <w:p w14:paraId="33D1CFFA"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Charter capital before the offering (*)</w:t>
            </w:r>
          </w:p>
          <w:p w14:paraId="13248396"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(Including the number of shares issued to pay dividends in 2023 and ESOP in 2024)</w:t>
            </w:r>
          </w:p>
        </w:tc>
        <w:tc>
          <w:tcPr>
            <w:tcW w:w="2109" w:type="pct"/>
            <w:shd w:val="clear" w:color="auto" w:fill="auto"/>
            <w:tcMar>
              <w:top w:w="0" w:type="dxa"/>
              <w:bottom w:w="0" w:type="dxa"/>
            </w:tcMar>
            <w:vAlign w:val="center"/>
          </w:tcPr>
          <w:p w14:paraId="7AD8DC3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1,015,171,580,000</w:t>
            </w:r>
          </w:p>
        </w:tc>
      </w:tr>
      <w:tr w:rsidR="0026773C" w:rsidRPr="00217A6C" w14:paraId="0454916E" w14:textId="77777777" w:rsidTr="00217A6C">
        <w:tc>
          <w:tcPr>
            <w:tcW w:w="2891" w:type="pct"/>
            <w:shd w:val="clear" w:color="auto" w:fill="auto"/>
            <w:tcMar>
              <w:top w:w="0" w:type="dxa"/>
              <w:bottom w:w="0" w:type="dxa"/>
            </w:tcMar>
            <w:vAlign w:val="center"/>
          </w:tcPr>
          <w:p w14:paraId="29BE85B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number of outstanding shares before the offering (*) (Including the number of shares issued to pay dividends in 2023 and ESOP in 2024)</w:t>
            </w:r>
          </w:p>
        </w:tc>
        <w:tc>
          <w:tcPr>
            <w:tcW w:w="2109" w:type="pct"/>
            <w:shd w:val="clear" w:color="auto" w:fill="auto"/>
            <w:tcMar>
              <w:top w:w="0" w:type="dxa"/>
              <w:bottom w:w="0" w:type="dxa"/>
            </w:tcMar>
            <w:vAlign w:val="center"/>
          </w:tcPr>
          <w:p w14:paraId="0D1BF361"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101,517,158 shares</w:t>
            </w:r>
          </w:p>
        </w:tc>
      </w:tr>
      <w:tr w:rsidR="0026773C" w:rsidRPr="00217A6C" w14:paraId="721D1B47" w14:textId="77777777" w:rsidTr="00217A6C">
        <w:tc>
          <w:tcPr>
            <w:tcW w:w="2891" w:type="pct"/>
            <w:shd w:val="clear" w:color="auto" w:fill="auto"/>
            <w:tcMar>
              <w:top w:w="0" w:type="dxa"/>
              <w:bottom w:w="0" w:type="dxa"/>
            </w:tcMar>
            <w:vAlign w:val="center"/>
          </w:tcPr>
          <w:p w14:paraId="3B5BDD7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Number of additional shares offered to the public to existing shareholders:</w:t>
            </w:r>
          </w:p>
        </w:tc>
        <w:tc>
          <w:tcPr>
            <w:tcW w:w="2109" w:type="pct"/>
            <w:shd w:val="clear" w:color="auto" w:fill="auto"/>
            <w:tcMar>
              <w:top w:w="0" w:type="dxa"/>
              <w:bottom w:w="0" w:type="dxa"/>
            </w:tcMar>
            <w:vAlign w:val="center"/>
          </w:tcPr>
          <w:p w14:paraId="4E4CC48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50,758,579 shares (expected)</w:t>
            </w:r>
          </w:p>
        </w:tc>
      </w:tr>
      <w:tr w:rsidR="0026773C" w:rsidRPr="00217A6C" w14:paraId="0106B121" w14:textId="77777777" w:rsidTr="00217A6C">
        <w:tc>
          <w:tcPr>
            <w:tcW w:w="2891" w:type="pct"/>
            <w:shd w:val="clear" w:color="auto" w:fill="auto"/>
            <w:tcMar>
              <w:top w:w="0" w:type="dxa"/>
              <w:bottom w:w="0" w:type="dxa"/>
            </w:tcMar>
            <w:vAlign w:val="center"/>
          </w:tcPr>
          <w:p w14:paraId="61AC6CA0"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Offering rate (Rate of Number of additional offered shares/Total number of outstanding shares)</w:t>
            </w:r>
          </w:p>
        </w:tc>
        <w:tc>
          <w:tcPr>
            <w:tcW w:w="2109" w:type="pct"/>
            <w:shd w:val="clear" w:color="auto" w:fill="auto"/>
            <w:tcMar>
              <w:top w:w="0" w:type="dxa"/>
              <w:bottom w:w="0" w:type="dxa"/>
            </w:tcMar>
            <w:vAlign w:val="center"/>
          </w:tcPr>
          <w:p w14:paraId="2ED01D74"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50%</w:t>
            </w:r>
          </w:p>
        </w:tc>
      </w:tr>
      <w:tr w:rsidR="0026773C" w:rsidRPr="00217A6C" w14:paraId="5A15324F" w14:textId="77777777" w:rsidTr="00217A6C">
        <w:tc>
          <w:tcPr>
            <w:tcW w:w="2891" w:type="pct"/>
            <w:shd w:val="clear" w:color="auto" w:fill="auto"/>
            <w:tcMar>
              <w:top w:w="0" w:type="dxa"/>
              <w:bottom w:w="0" w:type="dxa"/>
            </w:tcMar>
            <w:vAlign w:val="center"/>
          </w:tcPr>
          <w:p w14:paraId="78C5E520"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Rights exercise rate</w:t>
            </w:r>
          </w:p>
        </w:tc>
        <w:tc>
          <w:tcPr>
            <w:tcW w:w="2109" w:type="pct"/>
            <w:shd w:val="clear" w:color="auto" w:fill="auto"/>
            <w:tcMar>
              <w:top w:w="0" w:type="dxa"/>
              <w:bottom w:w="0" w:type="dxa"/>
            </w:tcMar>
            <w:vAlign w:val="center"/>
          </w:tcPr>
          <w:p w14:paraId="5AF3E7EC"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2:1</w:t>
            </w:r>
          </w:p>
        </w:tc>
      </w:tr>
      <w:tr w:rsidR="0026773C" w:rsidRPr="00217A6C" w14:paraId="335C8B21" w14:textId="77777777" w:rsidTr="00217A6C">
        <w:tc>
          <w:tcPr>
            <w:tcW w:w="2891" w:type="pct"/>
            <w:shd w:val="clear" w:color="auto" w:fill="auto"/>
            <w:tcMar>
              <w:top w:w="0" w:type="dxa"/>
              <w:bottom w:w="0" w:type="dxa"/>
            </w:tcMar>
            <w:vAlign w:val="center"/>
          </w:tcPr>
          <w:p w14:paraId="7A37D7EA"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Offering price:</w:t>
            </w:r>
          </w:p>
        </w:tc>
        <w:tc>
          <w:tcPr>
            <w:tcW w:w="2109" w:type="pct"/>
            <w:shd w:val="clear" w:color="auto" w:fill="auto"/>
            <w:tcMar>
              <w:top w:w="0" w:type="dxa"/>
              <w:bottom w:w="0" w:type="dxa"/>
            </w:tcMar>
            <w:vAlign w:val="center"/>
          </w:tcPr>
          <w:p w14:paraId="4B631655"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10,000/share</w:t>
            </w:r>
          </w:p>
        </w:tc>
      </w:tr>
      <w:tr w:rsidR="0026773C" w:rsidRPr="00217A6C" w14:paraId="38ABC93E" w14:textId="77777777" w:rsidTr="00217A6C">
        <w:tc>
          <w:tcPr>
            <w:tcW w:w="2891" w:type="pct"/>
            <w:shd w:val="clear" w:color="auto" w:fill="auto"/>
            <w:tcMar>
              <w:top w:w="0" w:type="dxa"/>
              <w:bottom w:w="0" w:type="dxa"/>
            </w:tcMar>
            <w:vAlign w:val="center"/>
          </w:tcPr>
          <w:p w14:paraId="0052391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Capital use purpose:</w:t>
            </w:r>
          </w:p>
        </w:tc>
        <w:tc>
          <w:tcPr>
            <w:tcW w:w="2109" w:type="pct"/>
            <w:shd w:val="clear" w:color="auto" w:fill="auto"/>
            <w:tcMar>
              <w:top w:w="0" w:type="dxa"/>
              <w:bottom w:w="0" w:type="dxa"/>
            </w:tcMar>
            <w:vAlign w:val="center"/>
          </w:tcPr>
          <w:p w14:paraId="6D643756"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Invest in 02 wind power plant projects in Huong </w:t>
            </w:r>
            <w:proofErr w:type="spellStart"/>
            <w:r>
              <w:rPr>
                <w:rFonts w:ascii="Arial" w:hAnsi="Arial"/>
                <w:color w:val="010000"/>
                <w:sz w:val="20"/>
              </w:rPr>
              <w:t>Hoa</w:t>
            </w:r>
            <w:proofErr w:type="spellEnd"/>
            <w:r>
              <w:rPr>
                <w:rFonts w:ascii="Arial" w:hAnsi="Arial"/>
                <w:color w:val="010000"/>
                <w:sz w:val="20"/>
              </w:rPr>
              <w:t xml:space="preserve"> District, </w:t>
            </w:r>
            <w:proofErr w:type="spellStart"/>
            <w:r>
              <w:rPr>
                <w:rFonts w:ascii="Arial" w:hAnsi="Arial"/>
                <w:color w:val="010000"/>
                <w:sz w:val="20"/>
              </w:rPr>
              <w:t>Quang</w:t>
            </w:r>
            <w:proofErr w:type="spellEnd"/>
            <w:r>
              <w:rPr>
                <w:rFonts w:ascii="Arial" w:hAnsi="Arial"/>
                <w:color w:val="010000"/>
                <w:sz w:val="20"/>
              </w:rPr>
              <w:t xml:space="preserve"> Tri Province via SCI Quang Tri Joint Stock Company, </w:t>
            </w:r>
            <w:r>
              <w:rPr>
                <w:rFonts w:ascii="Arial" w:hAnsi="Arial"/>
                <w:color w:val="010000"/>
                <w:sz w:val="20"/>
              </w:rPr>
              <w:lastRenderedPageBreak/>
              <w:t>with a total expected capacity of 56 MW.</w:t>
            </w:r>
          </w:p>
        </w:tc>
      </w:tr>
      <w:tr w:rsidR="0026773C" w:rsidRPr="00217A6C" w14:paraId="76BA6573" w14:textId="77777777" w:rsidTr="00217A6C">
        <w:tc>
          <w:tcPr>
            <w:tcW w:w="2891" w:type="pct"/>
            <w:shd w:val="clear" w:color="auto" w:fill="auto"/>
            <w:tcMar>
              <w:top w:w="0" w:type="dxa"/>
              <w:bottom w:w="0" w:type="dxa"/>
            </w:tcMar>
            <w:vAlign w:val="center"/>
          </w:tcPr>
          <w:p w14:paraId="31542013"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lastRenderedPageBreak/>
              <w:t>Number of shares after the offering:</w:t>
            </w:r>
          </w:p>
        </w:tc>
        <w:tc>
          <w:tcPr>
            <w:tcW w:w="2109" w:type="pct"/>
            <w:shd w:val="clear" w:color="auto" w:fill="auto"/>
            <w:tcMar>
              <w:top w:w="0" w:type="dxa"/>
              <w:bottom w:w="0" w:type="dxa"/>
            </w:tcMar>
            <w:vAlign w:val="center"/>
          </w:tcPr>
          <w:p w14:paraId="035F367F"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152,275,737 shares (expected)</w:t>
            </w:r>
          </w:p>
        </w:tc>
      </w:tr>
      <w:tr w:rsidR="0026773C" w:rsidRPr="00217A6C" w14:paraId="7F5423B3" w14:textId="77777777" w:rsidTr="00217A6C">
        <w:tc>
          <w:tcPr>
            <w:tcW w:w="2891" w:type="pct"/>
            <w:shd w:val="clear" w:color="auto" w:fill="auto"/>
            <w:tcMar>
              <w:top w:w="0" w:type="dxa"/>
              <w:bottom w:w="0" w:type="dxa"/>
            </w:tcMar>
            <w:vAlign w:val="center"/>
          </w:tcPr>
          <w:p w14:paraId="67D2D945"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Charter capital after the offering:</w:t>
            </w:r>
          </w:p>
        </w:tc>
        <w:tc>
          <w:tcPr>
            <w:tcW w:w="2109" w:type="pct"/>
            <w:shd w:val="clear" w:color="auto" w:fill="auto"/>
            <w:tcMar>
              <w:top w:w="0" w:type="dxa"/>
              <w:bottom w:w="0" w:type="dxa"/>
            </w:tcMar>
            <w:vAlign w:val="center"/>
          </w:tcPr>
          <w:p w14:paraId="1EE62CDF" w14:textId="77777777"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 1,522,757,370,000</w:t>
            </w:r>
          </w:p>
        </w:tc>
      </w:tr>
    </w:tbl>
    <w:p w14:paraId="59EA8F2C" w14:textId="14F34CFE" w:rsidR="0026773C" w:rsidRPr="00217A6C" w:rsidRDefault="00217A6C" w:rsidP="00217A6C">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Charter capital and number of outstanding shares before the offering are expected and may change according to the actual number issued due to the plan to handle fractional shares arising during the share issuance to pay dividends in 2023 according to Proposal No. 06/2024/</w:t>
      </w:r>
      <w:proofErr w:type="spellStart"/>
      <w:r>
        <w:rPr>
          <w:rFonts w:ascii="Arial" w:hAnsi="Arial"/>
          <w:color w:val="010000"/>
          <w:sz w:val="20"/>
        </w:rPr>
        <w:t>TTr</w:t>
      </w:r>
      <w:proofErr w:type="spellEnd"/>
      <w:r>
        <w:rPr>
          <w:rFonts w:ascii="Arial" w:hAnsi="Arial"/>
          <w:color w:val="010000"/>
          <w:sz w:val="20"/>
        </w:rPr>
        <w:t xml:space="preserve">-SCI-HDQT dated April 29, 2024 and ESOP in 2024 </w:t>
      </w:r>
    </w:p>
    <w:p w14:paraId="168382A6"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Capital use plan</w:t>
      </w:r>
    </w:p>
    <w:p w14:paraId="4E37D0DA" w14:textId="77777777" w:rsidR="00394F76" w:rsidRPr="00217A6C" w:rsidRDefault="00394F76" w:rsidP="00217A6C">
      <w:pPr>
        <w:pStyle w:val="ListParagraph"/>
        <w:widowControl/>
        <w:numPr>
          <w:ilvl w:val="3"/>
          <w:numId w:val="5"/>
        </w:numPr>
        <w:spacing w:after="120" w:line="360" w:lineRule="auto"/>
        <w:ind w:left="0" w:firstLine="0"/>
        <w:contextualSpacing w:val="0"/>
        <w:rPr>
          <w:rFonts w:ascii="Arial" w:eastAsia="Times New Roman" w:hAnsi="Arial" w:cs="Arial"/>
          <w:color w:val="010000"/>
          <w:sz w:val="20"/>
        </w:rPr>
      </w:pPr>
      <w:r>
        <w:rPr>
          <w:rFonts w:ascii="Arial" w:hAnsi="Arial"/>
          <w:color w:val="010000"/>
          <w:sz w:val="20"/>
        </w:rPr>
        <w:t>Expected proceeds from the offering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3"/>
        <w:gridCol w:w="2480"/>
        <w:gridCol w:w="1751"/>
        <w:gridCol w:w="1899"/>
        <w:gridCol w:w="2224"/>
      </w:tblGrid>
      <w:tr w:rsidR="00394F76" w:rsidRPr="00217A6C" w14:paraId="6E8778A8" w14:textId="77777777" w:rsidTr="00217A6C">
        <w:tc>
          <w:tcPr>
            <w:tcW w:w="368" w:type="pct"/>
            <w:shd w:val="clear" w:color="auto" w:fill="auto"/>
            <w:vAlign w:val="center"/>
          </w:tcPr>
          <w:p w14:paraId="4E541E06"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No.</w:t>
            </w:r>
          </w:p>
          <w:p w14:paraId="0C10BC6D"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No.</w:t>
            </w:r>
          </w:p>
        </w:tc>
        <w:tc>
          <w:tcPr>
            <w:tcW w:w="1375" w:type="pct"/>
            <w:shd w:val="clear" w:color="auto" w:fill="auto"/>
            <w:vAlign w:val="center"/>
          </w:tcPr>
          <w:p w14:paraId="791958D1"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Subject of the offering</w:t>
            </w:r>
          </w:p>
        </w:tc>
        <w:tc>
          <w:tcPr>
            <w:tcW w:w="971" w:type="pct"/>
            <w:shd w:val="clear" w:color="auto" w:fill="auto"/>
            <w:vAlign w:val="center"/>
          </w:tcPr>
          <w:p w14:paraId="5C71451B"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Number of shares offered</w:t>
            </w:r>
          </w:p>
        </w:tc>
        <w:tc>
          <w:tcPr>
            <w:tcW w:w="1053" w:type="pct"/>
            <w:shd w:val="clear" w:color="auto" w:fill="auto"/>
            <w:vAlign w:val="center"/>
          </w:tcPr>
          <w:p w14:paraId="00750E54"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Offering price (VND/share)</w:t>
            </w:r>
          </w:p>
        </w:tc>
        <w:tc>
          <w:tcPr>
            <w:tcW w:w="1233" w:type="pct"/>
            <w:shd w:val="clear" w:color="auto" w:fill="auto"/>
            <w:vAlign w:val="center"/>
          </w:tcPr>
          <w:p w14:paraId="25B3671D"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Expected proceeds (VND)</w:t>
            </w:r>
          </w:p>
        </w:tc>
      </w:tr>
      <w:tr w:rsidR="00394F76" w:rsidRPr="00217A6C" w14:paraId="1D48D86A" w14:textId="77777777" w:rsidTr="00217A6C">
        <w:tc>
          <w:tcPr>
            <w:tcW w:w="368" w:type="pct"/>
            <w:shd w:val="clear" w:color="auto" w:fill="auto"/>
            <w:vAlign w:val="center"/>
          </w:tcPr>
          <w:p w14:paraId="5E2CC86B"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1</w:t>
            </w:r>
          </w:p>
        </w:tc>
        <w:tc>
          <w:tcPr>
            <w:tcW w:w="1375" w:type="pct"/>
            <w:shd w:val="clear" w:color="auto" w:fill="auto"/>
            <w:vAlign w:val="center"/>
          </w:tcPr>
          <w:p w14:paraId="77118B02"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Offering to existing shareholders</w:t>
            </w:r>
          </w:p>
        </w:tc>
        <w:tc>
          <w:tcPr>
            <w:tcW w:w="971" w:type="pct"/>
            <w:shd w:val="clear" w:color="auto" w:fill="auto"/>
            <w:vAlign w:val="center"/>
          </w:tcPr>
          <w:p w14:paraId="770EB945"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w:t>
            </w:r>
          </w:p>
        </w:tc>
        <w:tc>
          <w:tcPr>
            <w:tcW w:w="1053" w:type="pct"/>
            <w:shd w:val="clear" w:color="auto" w:fill="auto"/>
            <w:vAlign w:val="center"/>
          </w:tcPr>
          <w:p w14:paraId="0AE67B7D"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10,000</w:t>
            </w:r>
          </w:p>
        </w:tc>
        <w:tc>
          <w:tcPr>
            <w:tcW w:w="1233" w:type="pct"/>
            <w:shd w:val="clear" w:color="auto" w:fill="auto"/>
            <w:vAlign w:val="center"/>
          </w:tcPr>
          <w:p w14:paraId="471C21C8"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507,585,790,000</w:t>
            </w:r>
          </w:p>
        </w:tc>
      </w:tr>
      <w:tr w:rsidR="00394F76" w:rsidRPr="00217A6C" w14:paraId="61006B72" w14:textId="77777777" w:rsidTr="00217A6C">
        <w:tc>
          <w:tcPr>
            <w:tcW w:w="1743" w:type="pct"/>
            <w:gridSpan w:val="2"/>
            <w:shd w:val="clear" w:color="auto" w:fill="auto"/>
            <w:vAlign w:val="center"/>
          </w:tcPr>
          <w:p w14:paraId="0EA31D6C"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Total</w:t>
            </w:r>
          </w:p>
        </w:tc>
        <w:tc>
          <w:tcPr>
            <w:tcW w:w="971" w:type="pct"/>
            <w:shd w:val="clear" w:color="auto" w:fill="auto"/>
            <w:vAlign w:val="center"/>
          </w:tcPr>
          <w:p w14:paraId="22AC7394"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w:t>
            </w:r>
          </w:p>
        </w:tc>
        <w:tc>
          <w:tcPr>
            <w:tcW w:w="1053" w:type="pct"/>
            <w:shd w:val="clear" w:color="auto" w:fill="auto"/>
            <w:vAlign w:val="center"/>
          </w:tcPr>
          <w:p w14:paraId="4CDAC936" w14:textId="77777777" w:rsidR="00394F76" w:rsidRPr="00394F76" w:rsidRDefault="00394F76" w:rsidP="00217A6C">
            <w:pPr>
              <w:widowControl/>
              <w:spacing w:after="120" w:line="360" w:lineRule="auto"/>
              <w:rPr>
                <w:rFonts w:ascii="Arial" w:eastAsia="Times New Roman" w:hAnsi="Arial" w:cs="Arial"/>
                <w:color w:val="010000"/>
                <w:sz w:val="20"/>
                <w:szCs w:val="10"/>
              </w:rPr>
            </w:pPr>
          </w:p>
        </w:tc>
        <w:tc>
          <w:tcPr>
            <w:tcW w:w="1233" w:type="pct"/>
            <w:shd w:val="clear" w:color="auto" w:fill="auto"/>
            <w:vAlign w:val="center"/>
          </w:tcPr>
          <w:p w14:paraId="0065EB4C"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507,585,790,000</w:t>
            </w:r>
          </w:p>
        </w:tc>
      </w:tr>
    </w:tbl>
    <w:p w14:paraId="6826CE07" w14:textId="77777777" w:rsidR="00394F76" w:rsidRPr="00217A6C" w:rsidRDefault="00394F76" w:rsidP="00217A6C">
      <w:pPr>
        <w:pStyle w:val="ListParagraph"/>
        <w:widowControl/>
        <w:numPr>
          <w:ilvl w:val="0"/>
          <w:numId w:val="5"/>
        </w:numPr>
        <w:spacing w:after="120" w:line="360" w:lineRule="auto"/>
        <w:ind w:left="0" w:firstLine="0"/>
        <w:contextualSpacing w:val="0"/>
        <w:rPr>
          <w:rFonts w:ascii="Arial" w:eastAsia="Times New Roman" w:hAnsi="Arial" w:cs="Arial"/>
          <w:color w:val="010000"/>
          <w:sz w:val="20"/>
        </w:rPr>
      </w:pPr>
      <w:r>
        <w:rPr>
          <w:rFonts w:ascii="Arial" w:hAnsi="Arial"/>
          <w:color w:val="010000"/>
          <w:sz w:val="20"/>
        </w:rPr>
        <w:t>Capital use plan</w:t>
      </w:r>
    </w:p>
    <w:p w14:paraId="33BAD40F"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Proceeds from the share offering are prioritized for use in the following 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5"/>
        <w:gridCol w:w="4159"/>
        <w:gridCol w:w="1894"/>
        <w:gridCol w:w="2279"/>
      </w:tblGrid>
      <w:tr w:rsidR="00394F76" w:rsidRPr="00217A6C" w14:paraId="2E6AEA2B" w14:textId="77777777" w:rsidTr="00217A6C">
        <w:tc>
          <w:tcPr>
            <w:tcW w:w="380" w:type="pct"/>
            <w:shd w:val="clear" w:color="auto" w:fill="auto"/>
            <w:vAlign w:val="center"/>
          </w:tcPr>
          <w:p w14:paraId="21662469"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No.</w:t>
            </w:r>
          </w:p>
        </w:tc>
        <w:tc>
          <w:tcPr>
            <w:tcW w:w="2306" w:type="pct"/>
            <w:shd w:val="clear" w:color="auto" w:fill="auto"/>
            <w:vAlign w:val="center"/>
          </w:tcPr>
          <w:p w14:paraId="668F8544"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Capital use purpose</w:t>
            </w:r>
          </w:p>
        </w:tc>
        <w:tc>
          <w:tcPr>
            <w:tcW w:w="1050" w:type="pct"/>
            <w:shd w:val="clear" w:color="auto" w:fill="auto"/>
            <w:vAlign w:val="center"/>
          </w:tcPr>
          <w:p w14:paraId="2AF87997"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Amount (VND)</w:t>
            </w:r>
          </w:p>
        </w:tc>
        <w:tc>
          <w:tcPr>
            <w:tcW w:w="1264" w:type="pct"/>
            <w:shd w:val="clear" w:color="auto" w:fill="auto"/>
            <w:vAlign w:val="center"/>
          </w:tcPr>
          <w:p w14:paraId="195D6150"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Capital use progress</w:t>
            </w:r>
          </w:p>
        </w:tc>
      </w:tr>
      <w:tr w:rsidR="00394F76" w:rsidRPr="00217A6C" w14:paraId="209D7320" w14:textId="77777777" w:rsidTr="00217A6C">
        <w:tc>
          <w:tcPr>
            <w:tcW w:w="380" w:type="pct"/>
            <w:shd w:val="clear" w:color="auto" w:fill="auto"/>
            <w:vAlign w:val="center"/>
          </w:tcPr>
          <w:p w14:paraId="56A63EA0"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1</w:t>
            </w:r>
          </w:p>
        </w:tc>
        <w:tc>
          <w:tcPr>
            <w:tcW w:w="2306" w:type="pct"/>
            <w:shd w:val="clear" w:color="auto" w:fill="auto"/>
            <w:vAlign w:val="center"/>
          </w:tcPr>
          <w:p w14:paraId="42BD5325"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 xml:space="preserve">Invest in 02 wind power plant projects in Huong </w:t>
            </w:r>
            <w:proofErr w:type="spellStart"/>
            <w:r>
              <w:rPr>
                <w:rFonts w:ascii="Arial" w:hAnsi="Arial"/>
                <w:color w:val="010000"/>
                <w:sz w:val="20"/>
              </w:rPr>
              <w:t>Hoa</w:t>
            </w:r>
            <w:proofErr w:type="spellEnd"/>
            <w:r>
              <w:rPr>
                <w:rFonts w:ascii="Arial" w:hAnsi="Arial"/>
                <w:color w:val="010000"/>
                <w:sz w:val="20"/>
              </w:rPr>
              <w:t xml:space="preserve"> District, </w:t>
            </w:r>
            <w:proofErr w:type="spellStart"/>
            <w:r>
              <w:rPr>
                <w:rFonts w:ascii="Arial" w:hAnsi="Arial"/>
                <w:color w:val="010000"/>
                <w:sz w:val="20"/>
              </w:rPr>
              <w:t>Quang</w:t>
            </w:r>
            <w:proofErr w:type="spellEnd"/>
            <w:r>
              <w:rPr>
                <w:rFonts w:ascii="Arial" w:hAnsi="Arial"/>
                <w:color w:val="010000"/>
                <w:sz w:val="20"/>
              </w:rPr>
              <w:t xml:space="preserve"> Tri Province via SCI Quang Tri Joint Stock Company, with a total expected capacity of 56 MW.</w:t>
            </w:r>
          </w:p>
        </w:tc>
        <w:tc>
          <w:tcPr>
            <w:tcW w:w="1050" w:type="pct"/>
            <w:shd w:val="clear" w:color="auto" w:fill="auto"/>
            <w:vAlign w:val="center"/>
          </w:tcPr>
          <w:p w14:paraId="742B962B"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507,585,790,000</w:t>
            </w:r>
          </w:p>
        </w:tc>
        <w:tc>
          <w:tcPr>
            <w:tcW w:w="1264" w:type="pct"/>
            <w:shd w:val="clear" w:color="auto" w:fill="auto"/>
            <w:vAlign w:val="center"/>
          </w:tcPr>
          <w:p w14:paraId="472CE6C2"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After ending the offering and according to the actual capital use progress</w:t>
            </w:r>
          </w:p>
        </w:tc>
      </w:tr>
      <w:tr w:rsidR="00394F76" w:rsidRPr="00217A6C" w14:paraId="2B6AFE68" w14:textId="77777777" w:rsidTr="00217A6C">
        <w:tc>
          <w:tcPr>
            <w:tcW w:w="2686" w:type="pct"/>
            <w:gridSpan w:val="2"/>
            <w:shd w:val="clear" w:color="auto" w:fill="auto"/>
            <w:vAlign w:val="center"/>
          </w:tcPr>
          <w:p w14:paraId="53565383"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Total</w:t>
            </w:r>
          </w:p>
        </w:tc>
        <w:tc>
          <w:tcPr>
            <w:tcW w:w="1050" w:type="pct"/>
            <w:shd w:val="clear" w:color="auto" w:fill="auto"/>
            <w:vAlign w:val="center"/>
          </w:tcPr>
          <w:p w14:paraId="31CEADF8" w14:textId="77777777" w:rsidR="00394F76" w:rsidRPr="00394F76" w:rsidRDefault="00394F76" w:rsidP="00217A6C">
            <w:pPr>
              <w:widowControl/>
              <w:spacing w:after="120" w:line="360" w:lineRule="auto"/>
              <w:rPr>
                <w:rFonts w:ascii="Arial" w:eastAsia="Times New Roman" w:hAnsi="Arial" w:cs="Arial"/>
                <w:color w:val="010000"/>
                <w:sz w:val="20"/>
              </w:rPr>
            </w:pPr>
            <w:r>
              <w:rPr>
                <w:rFonts w:ascii="Arial" w:hAnsi="Arial"/>
                <w:color w:val="010000"/>
                <w:sz w:val="20"/>
              </w:rPr>
              <w:t>507,585,790,000</w:t>
            </w:r>
          </w:p>
        </w:tc>
        <w:tc>
          <w:tcPr>
            <w:tcW w:w="1264" w:type="pct"/>
            <w:shd w:val="clear" w:color="auto" w:fill="auto"/>
            <w:vAlign w:val="center"/>
          </w:tcPr>
          <w:p w14:paraId="60F4D3B7" w14:textId="77777777" w:rsidR="00394F76" w:rsidRPr="00394F76" w:rsidRDefault="00394F76" w:rsidP="00217A6C">
            <w:pPr>
              <w:widowControl/>
              <w:spacing w:after="120" w:line="360" w:lineRule="auto"/>
              <w:rPr>
                <w:rFonts w:ascii="Arial" w:eastAsia="Times New Roman" w:hAnsi="Arial" w:cs="Arial"/>
                <w:color w:val="010000"/>
                <w:sz w:val="20"/>
                <w:szCs w:val="10"/>
              </w:rPr>
            </w:pPr>
          </w:p>
        </w:tc>
      </w:tr>
    </w:tbl>
    <w:p w14:paraId="42AE96FA" w14:textId="77777777" w:rsidR="00217A6C" w:rsidRPr="00217A6C" w:rsidRDefault="00217A6C" w:rsidP="00F271B8">
      <w:pPr>
        <w:widowControl/>
        <w:spacing w:after="120" w:line="360" w:lineRule="auto"/>
        <w:jc w:val="both"/>
        <w:rPr>
          <w:rFonts w:ascii="Arial" w:eastAsia="Times New Roman" w:hAnsi="Arial" w:cs="Arial"/>
          <w:color w:val="010000"/>
          <w:sz w:val="20"/>
        </w:rPr>
      </w:pPr>
      <w:r>
        <w:rPr>
          <w:rFonts w:ascii="Arial" w:hAnsi="Arial"/>
          <w:color w:val="010000"/>
          <w:sz w:val="20"/>
        </w:rPr>
        <w:t>The detailed plan for capital use (including details of the plan on investment and capital allocation and priority use of capital obtained from the offering) is authorized by the General Meeting of Shareholders for the Company Board of Directors to decide.</w:t>
      </w:r>
    </w:p>
    <w:p w14:paraId="3EE2BB54" w14:textId="77777777" w:rsidR="00217A6C" w:rsidRPr="00217A6C" w:rsidRDefault="00217A6C" w:rsidP="00F271B8">
      <w:pPr>
        <w:widowControl/>
        <w:spacing w:after="120" w:line="360" w:lineRule="auto"/>
        <w:jc w:val="both"/>
        <w:rPr>
          <w:rFonts w:ascii="Arial" w:eastAsia="Times New Roman" w:hAnsi="Arial" w:cs="Arial"/>
          <w:color w:val="010000"/>
          <w:sz w:val="20"/>
        </w:rPr>
      </w:pPr>
      <w:r>
        <w:rPr>
          <w:rFonts w:ascii="Arial" w:hAnsi="Arial"/>
          <w:color w:val="010000"/>
          <w:sz w:val="20"/>
        </w:rPr>
        <w:t>In case other investment opportunities appear that are more feasible, the General Meeting of Shareholders authorizes the Board of Directors to proactively adjust/change the purpose of using capital obtained from the offering and report to the General Meeting of Shareholders at the nearest General Meeting after changing the capital use purpose (if any).</w:t>
      </w:r>
    </w:p>
    <w:p w14:paraId="1B395C6F" w14:textId="77777777" w:rsidR="00217A6C" w:rsidRPr="00217A6C" w:rsidRDefault="00217A6C" w:rsidP="00F271B8">
      <w:pPr>
        <w:pStyle w:val="ListParagraph"/>
        <w:widowControl/>
        <w:numPr>
          <w:ilvl w:val="0"/>
          <w:numId w:val="5"/>
        </w:numPr>
        <w:spacing w:after="120" w:line="360" w:lineRule="auto"/>
        <w:ind w:left="0" w:firstLine="0"/>
        <w:contextualSpacing w:val="0"/>
        <w:jc w:val="both"/>
        <w:rPr>
          <w:rFonts w:ascii="Arial" w:eastAsia="Times New Roman" w:hAnsi="Arial" w:cs="Arial"/>
          <w:color w:val="010000"/>
          <w:sz w:val="20"/>
        </w:rPr>
      </w:pPr>
      <w:r>
        <w:rPr>
          <w:rFonts w:ascii="Arial" w:hAnsi="Arial"/>
          <w:color w:val="010000"/>
          <w:sz w:val="20"/>
        </w:rPr>
        <w:t>Plan to handle cases where the offering does not obtain the expected proceeds</w:t>
      </w:r>
    </w:p>
    <w:p w14:paraId="029BDCC7" w14:textId="77777777" w:rsidR="00217A6C" w:rsidRPr="00217A6C" w:rsidRDefault="00217A6C" w:rsidP="00F271B8">
      <w:pPr>
        <w:widowControl/>
        <w:spacing w:after="120" w:line="360" w:lineRule="auto"/>
        <w:jc w:val="both"/>
        <w:rPr>
          <w:rFonts w:ascii="Arial" w:eastAsia="Times New Roman" w:hAnsi="Arial" w:cs="Arial"/>
          <w:color w:val="010000"/>
          <w:sz w:val="20"/>
        </w:rPr>
      </w:pPr>
      <w:r>
        <w:rPr>
          <w:rFonts w:ascii="Arial" w:hAnsi="Arial"/>
          <w:color w:val="010000"/>
          <w:sz w:val="20"/>
        </w:rPr>
        <w:t>The minimum successful offering rate is 70% of the expected capital to implement the project. For the expected capital shortage, the Board of Directors will consider mobilizing bank loans or looking for other sources of additional funding to compensate in accordance with the Company's business activities.</w:t>
      </w:r>
    </w:p>
    <w:p w14:paraId="30717897"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Article 10: Approve the policy of issuing bonus shares according to ESOP according to the content of Proposal No. 09/2024/</w:t>
      </w:r>
      <w:proofErr w:type="spellStart"/>
      <w:r>
        <w:rPr>
          <w:rFonts w:ascii="Arial" w:hAnsi="Arial"/>
          <w:color w:val="010000"/>
          <w:sz w:val="20"/>
        </w:rPr>
        <w:t>TTr</w:t>
      </w:r>
      <w:proofErr w:type="spellEnd"/>
      <w:r>
        <w:rPr>
          <w:rFonts w:ascii="Arial" w:hAnsi="Arial"/>
          <w:color w:val="010000"/>
          <w:sz w:val="20"/>
        </w:rPr>
        <w:t>-SCI-HDQT.</w:t>
      </w:r>
    </w:p>
    <w:tbl>
      <w:tblPr>
        <w:tblStyle w:val="a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78"/>
        <w:gridCol w:w="3945"/>
        <w:gridCol w:w="4388"/>
      </w:tblGrid>
      <w:tr w:rsidR="0026773C" w:rsidRPr="00217A6C" w14:paraId="0FB2EB1F" w14:textId="77777777" w:rsidTr="00217A6C">
        <w:tc>
          <w:tcPr>
            <w:tcW w:w="376" w:type="pct"/>
            <w:shd w:val="clear" w:color="auto" w:fill="auto"/>
            <w:tcMar>
              <w:top w:w="0" w:type="dxa"/>
              <w:left w:w="20" w:type="dxa"/>
              <w:bottom w:w="0" w:type="dxa"/>
              <w:right w:w="20" w:type="dxa"/>
            </w:tcMar>
            <w:vAlign w:val="center"/>
          </w:tcPr>
          <w:p w14:paraId="0C2BF87A"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1.1</w:t>
            </w:r>
          </w:p>
        </w:tc>
        <w:tc>
          <w:tcPr>
            <w:tcW w:w="2189" w:type="pct"/>
            <w:shd w:val="clear" w:color="auto" w:fill="auto"/>
            <w:tcMar>
              <w:top w:w="0" w:type="dxa"/>
              <w:left w:w="20" w:type="dxa"/>
              <w:bottom w:w="0" w:type="dxa"/>
              <w:right w:w="20" w:type="dxa"/>
            </w:tcMar>
            <w:vAlign w:val="center"/>
          </w:tcPr>
          <w:p w14:paraId="0DE80C9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Number of shares expected to be issued with conditions</w:t>
            </w:r>
          </w:p>
        </w:tc>
        <w:tc>
          <w:tcPr>
            <w:tcW w:w="2435" w:type="pct"/>
            <w:shd w:val="clear" w:color="auto" w:fill="auto"/>
            <w:tcMar>
              <w:top w:w="0" w:type="dxa"/>
              <w:left w:w="20" w:type="dxa"/>
              <w:bottom w:w="0" w:type="dxa"/>
              <w:right w:w="20" w:type="dxa"/>
            </w:tcMar>
            <w:vAlign w:val="center"/>
          </w:tcPr>
          <w:p w14:paraId="1A385733"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If the profit before tax in 2024 exceeds the plan set out according to the Audited Financial Statements 2024, key employees of the Company will be rewarded with a number of shares in the form of issuing bonus shares according to ESOP.</w:t>
            </w:r>
          </w:p>
          <w:p w14:paraId="7E75FE8A"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The number of shares expected to be issued will be presented to the General Meeting of Shareholders 2025 by the Board of Directors after the audited profit results in 2024 are available.</w:t>
            </w:r>
          </w:p>
        </w:tc>
      </w:tr>
      <w:tr w:rsidR="0026773C" w:rsidRPr="00217A6C" w14:paraId="0834E887" w14:textId="77777777" w:rsidTr="00217A6C">
        <w:tc>
          <w:tcPr>
            <w:tcW w:w="376" w:type="pct"/>
            <w:shd w:val="clear" w:color="auto" w:fill="auto"/>
            <w:tcMar>
              <w:top w:w="0" w:type="dxa"/>
              <w:left w:w="20" w:type="dxa"/>
              <w:bottom w:w="0" w:type="dxa"/>
              <w:right w:w="20" w:type="dxa"/>
            </w:tcMar>
            <w:vAlign w:val="center"/>
          </w:tcPr>
          <w:p w14:paraId="5DF2C8D2"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1.2</w:t>
            </w:r>
          </w:p>
        </w:tc>
        <w:tc>
          <w:tcPr>
            <w:tcW w:w="2189" w:type="pct"/>
            <w:shd w:val="clear" w:color="auto" w:fill="auto"/>
            <w:tcMar>
              <w:top w:w="0" w:type="dxa"/>
              <w:left w:w="20" w:type="dxa"/>
              <w:bottom w:w="0" w:type="dxa"/>
              <w:right w:w="20" w:type="dxa"/>
            </w:tcMar>
            <w:vAlign w:val="center"/>
          </w:tcPr>
          <w:p w14:paraId="460F01D8"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Implementation time</w:t>
            </w:r>
          </w:p>
        </w:tc>
        <w:tc>
          <w:tcPr>
            <w:tcW w:w="2435" w:type="pct"/>
            <w:shd w:val="clear" w:color="auto" w:fill="auto"/>
            <w:tcMar>
              <w:top w:w="0" w:type="dxa"/>
              <w:left w:w="20" w:type="dxa"/>
              <w:bottom w:w="0" w:type="dxa"/>
              <w:right w:w="20" w:type="dxa"/>
            </w:tcMar>
            <w:vAlign w:val="center"/>
          </w:tcPr>
          <w:p w14:paraId="48C6A857"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 xml:space="preserve">The detailed issue plan will be submitted to the Annual Meeting 2025 </w:t>
            </w:r>
          </w:p>
        </w:tc>
      </w:tr>
      <w:tr w:rsidR="0026773C" w:rsidRPr="00217A6C" w14:paraId="73085531" w14:textId="77777777" w:rsidTr="00217A6C">
        <w:tc>
          <w:tcPr>
            <w:tcW w:w="376" w:type="pct"/>
            <w:shd w:val="clear" w:color="auto" w:fill="auto"/>
            <w:tcMar>
              <w:top w:w="0" w:type="dxa"/>
              <w:left w:w="20" w:type="dxa"/>
              <w:bottom w:w="0" w:type="dxa"/>
              <w:right w:w="20" w:type="dxa"/>
            </w:tcMar>
            <w:vAlign w:val="center"/>
          </w:tcPr>
          <w:p w14:paraId="70C92B21"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1.3</w:t>
            </w:r>
          </w:p>
        </w:tc>
        <w:tc>
          <w:tcPr>
            <w:tcW w:w="2189" w:type="pct"/>
            <w:shd w:val="clear" w:color="auto" w:fill="auto"/>
            <w:tcMar>
              <w:top w:w="0" w:type="dxa"/>
              <w:left w:w="20" w:type="dxa"/>
              <w:bottom w:w="0" w:type="dxa"/>
              <w:right w:w="20" w:type="dxa"/>
            </w:tcMar>
            <w:vAlign w:val="center"/>
          </w:tcPr>
          <w:p w14:paraId="708871A5"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Subject of the issuance</w:t>
            </w:r>
          </w:p>
        </w:tc>
        <w:tc>
          <w:tcPr>
            <w:tcW w:w="2435" w:type="pct"/>
            <w:shd w:val="clear" w:color="auto" w:fill="auto"/>
            <w:tcMar>
              <w:top w:w="0" w:type="dxa"/>
              <w:left w:w="20" w:type="dxa"/>
              <w:bottom w:w="0" w:type="dxa"/>
              <w:right w:w="20" w:type="dxa"/>
            </w:tcMar>
            <w:vAlign w:val="center"/>
          </w:tcPr>
          <w:p w14:paraId="3D7CAD12"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Members of the Board of Directors, members of the Board of Management and managers of the Company. The General Meeting of Shareholders authorizes the Board of Directors to approve the standards and list of employees</w:t>
            </w:r>
          </w:p>
        </w:tc>
      </w:tr>
      <w:tr w:rsidR="0026773C" w:rsidRPr="00217A6C" w14:paraId="247035F8" w14:textId="77777777" w:rsidTr="00217A6C">
        <w:tc>
          <w:tcPr>
            <w:tcW w:w="376" w:type="pct"/>
            <w:shd w:val="clear" w:color="auto" w:fill="auto"/>
            <w:tcMar>
              <w:top w:w="0" w:type="dxa"/>
              <w:left w:w="20" w:type="dxa"/>
              <w:bottom w:w="0" w:type="dxa"/>
              <w:right w:w="20" w:type="dxa"/>
            </w:tcMar>
            <w:vAlign w:val="center"/>
          </w:tcPr>
          <w:p w14:paraId="21B927D9"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1.4</w:t>
            </w:r>
          </w:p>
        </w:tc>
        <w:tc>
          <w:tcPr>
            <w:tcW w:w="2189" w:type="pct"/>
            <w:shd w:val="clear" w:color="auto" w:fill="auto"/>
            <w:tcMar>
              <w:top w:w="0" w:type="dxa"/>
              <w:left w:w="20" w:type="dxa"/>
              <w:bottom w:w="0" w:type="dxa"/>
              <w:right w:w="20" w:type="dxa"/>
            </w:tcMar>
            <w:vAlign w:val="center"/>
          </w:tcPr>
          <w:p w14:paraId="573A6AC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Capital source for implementation</w:t>
            </w:r>
          </w:p>
        </w:tc>
        <w:tc>
          <w:tcPr>
            <w:tcW w:w="2435" w:type="pct"/>
            <w:shd w:val="clear" w:color="auto" w:fill="auto"/>
            <w:tcMar>
              <w:top w:w="0" w:type="dxa"/>
              <w:left w:w="20" w:type="dxa"/>
              <w:bottom w:w="0" w:type="dxa"/>
              <w:right w:w="20" w:type="dxa"/>
            </w:tcMar>
            <w:vAlign w:val="center"/>
          </w:tcPr>
          <w:p w14:paraId="7720126F"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Source of undistributed profit after tax on the Audited Separate Financial Statements 2024 of SCI Joint Stock Company.</w:t>
            </w:r>
          </w:p>
        </w:tc>
      </w:tr>
      <w:tr w:rsidR="0026773C" w:rsidRPr="00217A6C" w14:paraId="44A94A9C" w14:textId="77777777" w:rsidTr="00217A6C">
        <w:tc>
          <w:tcPr>
            <w:tcW w:w="376" w:type="pct"/>
            <w:shd w:val="clear" w:color="auto" w:fill="auto"/>
            <w:tcMar>
              <w:top w:w="0" w:type="dxa"/>
              <w:left w:w="20" w:type="dxa"/>
              <w:bottom w:w="0" w:type="dxa"/>
              <w:right w:w="20" w:type="dxa"/>
            </w:tcMar>
            <w:vAlign w:val="center"/>
          </w:tcPr>
          <w:p w14:paraId="7FD3387E"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1.5</w:t>
            </w:r>
          </w:p>
        </w:tc>
        <w:tc>
          <w:tcPr>
            <w:tcW w:w="2189" w:type="pct"/>
            <w:shd w:val="clear" w:color="auto" w:fill="auto"/>
            <w:tcMar>
              <w:top w:w="0" w:type="dxa"/>
              <w:left w:w="20" w:type="dxa"/>
              <w:bottom w:w="0" w:type="dxa"/>
              <w:right w:w="20" w:type="dxa"/>
            </w:tcMar>
            <w:vAlign w:val="center"/>
          </w:tcPr>
          <w:p w14:paraId="652B2BF6"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Transfer restriction</w:t>
            </w:r>
          </w:p>
        </w:tc>
        <w:tc>
          <w:tcPr>
            <w:tcW w:w="2435" w:type="pct"/>
            <w:shd w:val="clear" w:color="auto" w:fill="auto"/>
            <w:tcMar>
              <w:top w:w="0" w:type="dxa"/>
              <w:left w:w="20" w:type="dxa"/>
              <w:bottom w:w="0" w:type="dxa"/>
              <w:right w:w="20" w:type="dxa"/>
            </w:tcMar>
            <w:vAlign w:val="center"/>
          </w:tcPr>
          <w:p w14:paraId="444275AD"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Bonus shares issued under ESOP will be restricted from transfer for 1 year from the date of ending the issuance.</w:t>
            </w:r>
          </w:p>
        </w:tc>
      </w:tr>
      <w:tr w:rsidR="0026773C" w:rsidRPr="00217A6C" w14:paraId="1AE074DB" w14:textId="77777777" w:rsidTr="00217A6C">
        <w:tc>
          <w:tcPr>
            <w:tcW w:w="376" w:type="pct"/>
            <w:shd w:val="clear" w:color="auto" w:fill="auto"/>
            <w:tcMar>
              <w:top w:w="0" w:type="dxa"/>
              <w:left w:w="20" w:type="dxa"/>
              <w:bottom w:w="0" w:type="dxa"/>
              <w:right w:w="20" w:type="dxa"/>
            </w:tcMar>
            <w:vAlign w:val="center"/>
          </w:tcPr>
          <w:p w14:paraId="2DA01791" w14:textId="77777777" w:rsidR="0026773C" w:rsidRPr="00217A6C" w:rsidRDefault="00217A6C" w:rsidP="00217A6C">
            <w:pPr>
              <w:spacing w:after="120" w:line="360" w:lineRule="auto"/>
              <w:jc w:val="center"/>
              <w:rPr>
                <w:rFonts w:ascii="Arial" w:eastAsia="Arial" w:hAnsi="Arial" w:cs="Arial"/>
                <w:color w:val="010000"/>
                <w:sz w:val="20"/>
                <w:szCs w:val="20"/>
              </w:rPr>
            </w:pPr>
            <w:r>
              <w:rPr>
                <w:rFonts w:ascii="Arial" w:hAnsi="Arial"/>
                <w:color w:val="010000"/>
                <w:sz w:val="20"/>
              </w:rPr>
              <w:t>1.6</w:t>
            </w:r>
          </w:p>
        </w:tc>
        <w:tc>
          <w:tcPr>
            <w:tcW w:w="2189" w:type="pct"/>
            <w:shd w:val="clear" w:color="auto" w:fill="auto"/>
            <w:tcMar>
              <w:top w:w="0" w:type="dxa"/>
              <w:left w:w="20" w:type="dxa"/>
              <w:bottom w:w="0" w:type="dxa"/>
              <w:right w:w="20" w:type="dxa"/>
            </w:tcMar>
            <w:vAlign w:val="center"/>
          </w:tcPr>
          <w:p w14:paraId="71B4E7CB"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Regulations on issuance of bonus shares under ESOP</w:t>
            </w:r>
          </w:p>
        </w:tc>
        <w:tc>
          <w:tcPr>
            <w:tcW w:w="2435" w:type="pct"/>
            <w:shd w:val="clear" w:color="auto" w:fill="auto"/>
            <w:tcMar>
              <w:top w:w="0" w:type="dxa"/>
              <w:left w:w="20" w:type="dxa"/>
              <w:bottom w:w="0" w:type="dxa"/>
              <w:right w:w="20" w:type="dxa"/>
            </w:tcMar>
            <w:vAlign w:val="center"/>
          </w:tcPr>
          <w:p w14:paraId="442D59F2" w14:textId="77777777" w:rsidR="0026773C" w:rsidRPr="00217A6C" w:rsidRDefault="00217A6C" w:rsidP="00217A6C">
            <w:pPr>
              <w:spacing w:after="120" w:line="360" w:lineRule="auto"/>
              <w:rPr>
                <w:rFonts w:ascii="Arial" w:eastAsia="Arial" w:hAnsi="Arial" w:cs="Arial"/>
                <w:color w:val="010000"/>
                <w:sz w:val="20"/>
                <w:szCs w:val="20"/>
              </w:rPr>
            </w:pPr>
            <w:r>
              <w:rPr>
                <w:rFonts w:ascii="Arial" w:hAnsi="Arial"/>
                <w:color w:val="010000"/>
                <w:sz w:val="20"/>
              </w:rPr>
              <w:t>The General Meeting of Shareholders authorizes the Board of Directors to establish the ESOP Executive Board, develop regulations of offering bonus shares under ESOP and specific offering plan, clearly stipulate the standards and list of employees eligible to participate in ESOP, rights and obligations related (if any) to shares offered under ESOP,</w:t>
            </w:r>
            <w:r>
              <w:rPr>
                <w:rFonts w:ascii="Arial" w:hAnsi="Arial"/>
                <w:color w:val="010000"/>
                <w:sz w:val="20"/>
              </w:rPr>
              <w:cr/>
            </w:r>
            <w:r>
              <w:rPr>
                <w:rFonts w:ascii="Arial" w:hAnsi="Arial"/>
                <w:color w:val="010000"/>
                <w:sz w:val="20"/>
              </w:rPr>
              <w:br/>
              <w:t xml:space="preserve">decide who can participate in the program, decide and handle issues related to ESOP, and adjust program changes (if any) in accordance </w:t>
            </w:r>
            <w:r>
              <w:rPr>
                <w:rFonts w:ascii="Arial" w:hAnsi="Arial"/>
                <w:color w:val="010000"/>
                <w:sz w:val="20"/>
              </w:rPr>
              <w:lastRenderedPageBreak/>
              <w:t>with the provisions of law.</w:t>
            </w:r>
          </w:p>
        </w:tc>
      </w:tr>
    </w:tbl>
    <w:p w14:paraId="2FEFA42A"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Article 11: Approve the remuneration for the Board of Directors in 2023 and the estimated remuneration for the Board of Directors in 2024 according to the content of Proposal No. 10/2024/</w:t>
      </w:r>
      <w:proofErr w:type="spellStart"/>
      <w:r>
        <w:rPr>
          <w:rFonts w:ascii="Arial" w:hAnsi="Arial"/>
          <w:color w:val="010000"/>
          <w:sz w:val="20"/>
        </w:rPr>
        <w:t>TTr</w:t>
      </w:r>
      <w:proofErr w:type="spellEnd"/>
      <w:r>
        <w:rPr>
          <w:rFonts w:ascii="Arial" w:hAnsi="Arial"/>
          <w:color w:val="010000"/>
          <w:sz w:val="20"/>
        </w:rPr>
        <w:t>-SCI-HDQT.</w:t>
      </w:r>
    </w:p>
    <w:p w14:paraId="1779B85A" w14:textId="54DD6A3D"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12: Approve Mr. Nguyen Cong Hung, existing shareholder of SCI Joint Stock Company, receiving the transfer of voting shares without having to carry out procedures for public offering of the Company </w:t>
      </w:r>
    </w:p>
    <w:p w14:paraId="33A2070C" w14:textId="4D418851"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13: Approve a number of contents under the authority of the General Meeting of Shareholders </w:t>
      </w:r>
    </w:p>
    <w:p w14:paraId="69F53398" w14:textId="77777777"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14: This General Mandate is approved in full by the Annual General Meeting of Shareholders 2024 of SCI Joint Stock Company on April 29, 2024. The Board of Directors, the Board of Management and relevant functional departments in the Company are responsible for implementing this General Mandate.</w:t>
      </w:r>
    </w:p>
    <w:p w14:paraId="7EC93F0F" w14:textId="3159FFE1" w:rsidR="0026773C" w:rsidRPr="00217A6C" w:rsidRDefault="00217A6C" w:rsidP="00F271B8">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Pr>
          <w:rFonts w:ascii="Arial" w:hAnsi="Arial"/>
          <w:color w:val="010000"/>
          <w:sz w:val="20"/>
        </w:rPr>
        <w:t>Article 15: This General Mandate takes effect from April 29, 2024</w:t>
      </w:r>
      <w:r w:rsidR="00F271B8">
        <w:rPr>
          <w:rFonts w:ascii="Arial" w:hAnsi="Arial"/>
          <w:color w:val="010000"/>
          <w:sz w:val="20"/>
        </w:rPr>
        <w:t>.</w:t>
      </w:r>
      <w:bookmarkStart w:id="1" w:name="_GoBack"/>
      <w:bookmarkEnd w:id="1"/>
    </w:p>
    <w:sectPr w:rsidR="0026773C" w:rsidRPr="00217A6C" w:rsidSect="00217A6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BFE"/>
    <w:multiLevelType w:val="multilevel"/>
    <w:tmpl w:val="2FB0028C"/>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8D53E5"/>
    <w:multiLevelType w:val="multilevel"/>
    <w:tmpl w:val="A3242A7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9793006"/>
    <w:multiLevelType w:val="hybridMultilevel"/>
    <w:tmpl w:val="216A5E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B6517"/>
    <w:multiLevelType w:val="hybridMultilevel"/>
    <w:tmpl w:val="24507C26"/>
    <w:lvl w:ilvl="0" w:tplc="3D682D60">
      <w:start w:val="1"/>
      <w:numFmt w:val="lowerLetter"/>
      <w:lvlText w:val="%1."/>
      <w:lvlJc w:val="left"/>
      <w:pPr>
        <w:ind w:left="720" w:hanging="360"/>
      </w:pPr>
      <w:rPr>
        <w:rFonts w:hint="default"/>
        <w:b w:val="0"/>
        <w:i w:val="0"/>
        <w:sz w:val="20"/>
      </w:rPr>
    </w:lvl>
    <w:lvl w:ilvl="1" w:tplc="C3422EF0" w:tentative="1">
      <w:start w:val="1"/>
      <w:numFmt w:val="lowerLetter"/>
      <w:lvlText w:val="%2."/>
      <w:lvlJc w:val="left"/>
      <w:pPr>
        <w:ind w:left="1440" w:hanging="360"/>
      </w:pPr>
      <w:rPr>
        <w:b w:val="0"/>
        <w:i w:val="0"/>
        <w:sz w:val="20"/>
      </w:rPr>
    </w:lvl>
    <w:lvl w:ilvl="2" w:tplc="3A82F8FA"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16B1D"/>
    <w:multiLevelType w:val="multilevel"/>
    <w:tmpl w:val="F85A5AEA"/>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B9A44C7"/>
    <w:multiLevelType w:val="multilevel"/>
    <w:tmpl w:val="A71202F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35701D"/>
    <w:multiLevelType w:val="multilevel"/>
    <w:tmpl w:val="AB1CE1B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E1A793E"/>
    <w:multiLevelType w:val="multilevel"/>
    <w:tmpl w:val="B6682AE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3C"/>
    <w:rsid w:val="00217A6C"/>
    <w:rsid w:val="0026773C"/>
    <w:rsid w:val="00394F76"/>
    <w:rsid w:val="005A7F53"/>
    <w:rsid w:val="00F2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A1029"/>
  <w15:docId w15:val="{87FB91AA-6962-47ED-9762-B8AAECE1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80"/>
      <w:szCs w:val="8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6"/>
      <w:szCs w:val="1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color w:val="915365"/>
      <w:sz w:val="28"/>
      <w:szCs w:val="28"/>
      <w:u w:val="none"/>
      <w:shd w:val="clear" w:color="auto" w:fill="auto"/>
    </w:rPr>
  </w:style>
  <w:style w:type="paragraph" w:customStyle="1" w:styleId="Vnbnnidung40">
    <w:name w:val="Văn bản nội dung (4)"/>
    <w:basedOn w:val="Normal"/>
    <w:link w:val="Vnbnnidung4"/>
    <w:rPr>
      <w:rFonts w:ascii="Times New Roman" w:eastAsia="Times New Roman" w:hAnsi="Times New Roman" w:cs="Times New Roman"/>
      <w:sz w:val="80"/>
      <w:szCs w:val="80"/>
    </w:rPr>
  </w:style>
  <w:style w:type="paragraph" w:customStyle="1" w:styleId="Vnbnnidung0">
    <w:name w:val="Văn bản nội dung"/>
    <w:basedOn w:val="Normal"/>
    <w:link w:val="Vnbnnidung"/>
    <w:pPr>
      <w:spacing w:line="310" w:lineRule="auto"/>
    </w:pPr>
    <w:rPr>
      <w:rFonts w:ascii="Times New Roman" w:eastAsia="Times New Roman" w:hAnsi="Times New Roman" w:cs="Times New Roman"/>
    </w:rPr>
  </w:style>
  <w:style w:type="paragraph" w:customStyle="1" w:styleId="Vnbnnidung20">
    <w:name w:val="Văn bản nội dung (2)"/>
    <w:basedOn w:val="Normal"/>
    <w:link w:val="Vnbnnidung2"/>
    <w:pPr>
      <w:ind w:firstLine="180"/>
    </w:pPr>
    <w:rPr>
      <w:rFonts w:ascii="Arial" w:eastAsia="Arial" w:hAnsi="Arial" w:cs="Arial"/>
      <w:sz w:val="16"/>
      <w:szCs w:val="16"/>
    </w:rPr>
  </w:style>
  <w:style w:type="paragraph" w:customStyle="1" w:styleId="Vnbnnidung30">
    <w:name w:val="Văn bản nội dung (3)"/>
    <w:basedOn w:val="Normal"/>
    <w:link w:val="Vnbnnidung3"/>
    <w:pPr>
      <w:spacing w:line="252" w:lineRule="auto"/>
      <w:jc w:val="center"/>
    </w:pPr>
    <w:rPr>
      <w:rFonts w:ascii="Times New Roman" w:eastAsia="Times New Roman" w:hAnsi="Times New Roman" w:cs="Times New Roman"/>
      <w:b/>
      <w:bCs/>
      <w:sz w:val="28"/>
      <w:szCs w:val="28"/>
    </w:rPr>
  </w:style>
  <w:style w:type="paragraph" w:customStyle="1" w:styleId="Tiu20">
    <w:name w:val="Tiêu đề #2"/>
    <w:basedOn w:val="Normal"/>
    <w:link w:val="Tiu2"/>
    <w:pPr>
      <w:spacing w:line="266" w:lineRule="auto"/>
      <w:ind w:left="530"/>
      <w:outlineLvl w:val="1"/>
    </w:pPr>
    <w:rPr>
      <w:rFonts w:ascii="Times New Roman" w:eastAsia="Times New Roman" w:hAnsi="Times New Roman" w:cs="Times New Roman"/>
      <w:b/>
      <w:bCs/>
      <w:sz w:val="28"/>
      <w:szCs w:val="28"/>
    </w:rPr>
  </w:style>
  <w:style w:type="paragraph" w:customStyle="1" w:styleId="Chthchbng0">
    <w:name w:val="Chú thích bảng"/>
    <w:basedOn w:val="Normal"/>
    <w:link w:val="Chthchbng"/>
    <w:pPr>
      <w:spacing w:line="317" w:lineRule="auto"/>
    </w:pPr>
    <w:rPr>
      <w:rFonts w:ascii="Times New Roman" w:eastAsia="Times New Roman" w:hAnsi="Times New Roman" w:cs="Times New Roman"/>
    </w:rPr>
  </w:style>
  <w:style w:type="paragraph" w:customStyle="1" w:styleId="Khc0">
    <w:name w:val="Khác"/>
    <w:basedOn w:val="Normal"/>
    <w:link w:val="Khc"/>
    <w:pPr>
      <w:spacing w:line="310" w:lineRule="auto"/>
    </w:pPr>
    <w:rPr>
      <w:rFonts w:ascii="Times New Roman" w:eastAsia="Times New Roman" w:hAnsi="Times New Roman" w:cs="Times New Roman"/>
    </w:rPr>
  </w:style>
  <w:style w:type="paragraph" w:customStyle="1" w:styleId="Tiu10">
    <w:name w:val="Tiêu đề #1"/>
    <w:basedOn w:val="Normal"/>
    <w:link w:val="Tiu1"/>
    <w:pPr>
      <w:jc w:val="right"/>
      <w:outlineLvl w:val="0"/>
    </w:pPr>
    <w:rPr>
      <w:rFonts w:ascii="Arial" w:eastAsia="Arial" w:hAnsi="Arial" w:cs="Arial"/>
      <w:color w:val="915365"/>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d4F2jVY0YuzO4M08iiVZOsWwg==">CgMxLjAyCGguZ2pkZ3hzOAByITE1MnlFbVVXS1hLNVU4Z2tpa1JBeXU3XzhwRjlzUHZTQQ==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2024-05-06T02:55:00Z</dcterms:created>
  <dcterms:modified xsi:type="dcterms:W3CDTF">2024-05-07T09:13:00Z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6eb4a965c040d690ed7b2efd2e175002d902237816a093033267dd1cd721a179</vt:lpwstr>
  </property>
</Properties>
</file>