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9F" w:rsidRDefault="00843BB5" w:rsidP="00EC26BB">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SEA: Annual General Mandate 2024</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26, 2024, Vietnam </w:t>
      </w:r>
      <w:proofErr w:type="spellStart"/>
      <w:r>
        <w:rPr>
          <w:rFonts w:ascii="Arial" w:hAnsi="Arial"/>
          <w:sz w:val="20"/>
        </w:rPr>
        <w:t>Seaproducts</w:t>
      </w:r>
      <w:proofErr w:type="spellEnd"/>
      <w:r>
        <w:rPr>
          <w:rFonts w:ascii="Arial" w:hAnsi="Arial"/>
          <w:sz w:val="20"/>
        </w:rPr>
        <w:t xml:space="preserve"> Joint Stock Company announced General Mandate No. 62/NQ-DHDCD as follows: </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w:t>
      </w:r>
      <w:r>
        <w:rPr>
          <w:rFonts w:ascii="Arial" w:hAnsi="Arial"/>
          <w:sz w:val="20"/>
        </w:rPr>
        <w:t>Approve the Report of the Board of Directors at the Annual General Meeting of Shareholders in 2024.</w:t>
      </w:r>
    </w:p>
    <w:p w:rsidR="000B579F" w:rsidRPr="00843BB5" w:rsidRDefault="00843BB5">
      <w:pPr>
        <w:numPr>
          <w:ilvl w:val="0"/>
          <w:numId w:val="1"/>
        </w:numPr>
        <w:pBdr>
          <w:top w:val="nil"/>
          <w:left w:val="nil"/>
          <w:bottom w:val="nil"/>
          <w:right w:val="nil"/>
          <w:between w:val="nil"/>
        </w:pBdr>
        <w:spacing w:after="120" w:line="360" w:lineRule="auto"/>
        <w:ind w:left="708" w:hanging="708"/>
        <w:rPr>
          <w:rFonts w:ascii="Arial" w:eastAsia="Arial" w:hAnsi="Arial" w:cs="Arial"/>
          <w:sz w:val="20"/>
          <w:szCs w:val="20"/>
        </w:rPr>
      </w:pPr>
      <w:r w:rsidRPr="00843BB5">
        <w:rPr>
          <w:rFonts w:ascii="Arial" w:hAnsi="Arial"/>
          <w:sz w:val="20"/>
        </w:rPr>
        <w:t>Production and business results 2023;</w:t>
      </w:r>
    </w:p>
    <w:p w:rsidR="000B579F" w:rsidRPr="00843BB5" w:rsidRDefault="00843BB5">
      <w:pPr>
        <w:pBdr>
          <w:top w:val="nil"/>
          <w:left w:val="nil"/>
          <w:bottom w:val="nil"/>
          <w:right w:val="nil"/>
          <w:between w:val="nil"/>
        </w:pBdr>
        <w:spacing w:after="120" w:line="360" w:lineRule="auto"/>
        <w:ind w:left="720"/>
        <w:jc w:val="right"/>
        <w:rPr>
          <w:rFonts w:ascii="Arial" w:eastAsia="Arial" w:hAnsi="Arial" w:cs="Arial"/>
          <w:sz w:val="20"/>
          <w:szCs w:val="20"/>
        </w:rPr>
      </w:pPr>
      <w:bookmarkStart w:id="0" w:name="_GoBack"/>
      <w:bookmarkEnd w:id="0"/>
      <w:r w:rsidRPr="00843BB5">
        <w:rPr>
          <w:rFonts w:ascii="Arial" w:hAnsi="Arial"/>
          <w:sz w:val="20"/>
        </w:rPr>
        <w:t>Unit: VND</w:t>
      </w:r>
    </w:p>
    <w:tbl>
      <w:tblPr>
        <w:tblStyle w:val="a"/>
        <w:tblW w:w="9016" w:type="dxa"/>
        <w:tblLayout w:type="fixed"/>
        <w:tblLook w:val="0400" w:firstRow="0" w:lastRow="0" w:firstColumn="0" w:lastColumn="0" w:noHBand="0" w:noVBand="1"/>
      </w:tblPr>
      <w:tblGrid>
        <w:gridCol w:w="687"/>
        <w:gridCol w:w="2362"/>
        <w:gridCol w:w="1984"/>
        <w:gridCol w:w="1978"/>
        <w:gridCol w:w="2005"/>
      </w:tblGrid>
      <w:tr w:rsidR="000B579F" w:rsidRPr="00843BB5">
        <w:trPr>
          <w:trHeight w:val="994"/>
        </w:trPr>
        <w:tc>
          <w:tcPr>
            <w:tcW w:w="687" w:type="dxa"/>
            <w:tcBorders>
              <w:top w:val="single" w:sz="4" w:space="0" w:color="000000"/>
              <w:left w:val="single" w:sz="4" w:space="0" w:color="000000"/>
            </w:tcBorders>
            <w:shd w:val="clear" w:color="auto" w:fill="FFFFFF"/>
            <w:tcMar>
              <w:top w:w="0" w:type="dxa"/>
              <w:bottom w:w="0" w:type="dxa"/>
            </w:tcMar>
            <w:vAlign w:val="cente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No.</w:t>
            </w:r>
          </w:p>
        </w:tc>
        <w:tc>
          <w:tcPr>
            <w:tcW w:w="2362" w:type="dxa"/>
            <w:tcBorders>
              <w:top w:val="single" w:sz="4" w:space="0" w:color="000000"/>
              <w:left w:val="single" w:sz="4" w:space="0" w:color="000000"/>
            </w:tcBorders>
            <w:shd w:val="clear" w:color="auto" w:fill="FFFFFF"/>
            <w:tcMar>
              <w:top w:w="0" w:type="dxa"/>
              <w:bottom w:w="0" w:type="dxa"/>
            </w:tcMar>
            <w:vAlign w:val="cente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Target</w:t>
            </w:r>
          </w:p>
        </w:tc>
        <w:tc>
          <w:tcPr>
            <w:tcW w:w="1984" w:type="dxa"/>
            <w:tcBorders>
              <w:top w:val="single" w:sz="4" w:space="0" w:color="000000"/>
              <w:left w:val="single" w:sz="4" w:space="0" w:color="000000"/>
            </w:tcBorders>
            <w:shd w:val="clear" w:color="auto" w:fill="FFFFFF"/>
            <w:tcMar>
              <w:top w:w="0" w:type="dxa"/>
              <w:bottom w:w="0" w:type="dxa"/>
            </w:tcMar>
            <w:vAlign w:val="cente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Plan 2023</w:t>
            </w:r>
          </w:p>
        </w:tc>
        <w:tc>
          <w:tcPr>
            <w:tcW w:w="1978" w:type="dxa"/>
            <w:tcBorders>
              <w:top w:val="single" w:sz="4" w:space="0" w:color="000000"/>
              <w:left w:val="single" w:sz="4" w:space="0" w:color="000000"/>
            </w:tcBorders>
            <w:shd w:val="clear" w:color="auto" w:fill="FFFFFF"/>
            <w:tcMar>
              <w:top w:w="0" w:type="dxa"/>
              <w:bottom w:w="0" w:type="dxa"/>
            </w:tcMar>
            <w:vAlign w:val="cente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Results 2023</w:t>
            </w:r>
          </w:p>
        </w:tc>
        <w:tc>
          <w:tcPr>
            <w:tcW w:w="200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Results 2023/Plan 2023 (%)</w:t>
            </w:r>
          </w:p>
        </w:tc>
      </w:tr>
      <w:tr w:rsidR="000B579F" w:rsidRPr="00843BB5">
        <w:trPr>
          <w:trHeight w:val="306"/>
        </w:trPr>
        <w:tc>
          <w:tcPr>
            <w:tcW w:w="687"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1</w:t>
            </w:r>
          </w:p>
        </w:tc>
        <w:tc>
          <w:tcPr>
            <w:tcW w:w="2362"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Total revenue</w:t>
            </w:r>
          </w:p>
        </w:tc>
        <w:tc>
          <w:tcPr>
            <w:tcW w:w="1984"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166,828,199,763</w:t>
            </w:r>
          </w:p>
        </w:tc>
        <w:tc>
          <w:tcPr>
            <w:tcW w:w="1978"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170,729,922,232</w:t>
            </w:r>
          </w:p>
        </w:tc>
        <w:tc>
          <w:tcPr>
            <w:tcW w:w="200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102.34</w:t>
            </w:r>
          </w:p>
        </w:tc>
      </w:tr>
      <w:tr w:rsidR="000B579F" w:rsidRPr="00843BB5">
        <w:trPr>
          <w:trHeight w:val="310"/>
        </w:trPr>
        <w:tc>
          <w:tcPr>
            <w:tcW w:w="687"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2</w:t>
            </w:r>
          </w:p>
        </w:tc>
        <w:tc>
          <w:tcPr>
            <w:tcW w:w="2362"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Total expenses</w:t>
            </w:r>
          </w:p>
        </w:tc>
        <w:tc>
          <w:tcPr>
            <w:tcW w:w="1984"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87,598,388,299</w:t>
            </w:r>
          </w:p>
        </w:tc>
        <w:tc>
          <w:tcPr>
            <w:tcW w:w="1978" w:type="dxa"/>
            <w:tcBorders>
              <w:top w:val="single" w:sz="4" w:space="0" w:color="000000"/>
              <w:lef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86,704,372,971</w:t>
            </w:r>
          </w:p>
        </w:tc>
        <w:tc>
          <w:tcPr>
            <w:tcW w:w="200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98.98</w:t>
            </w:r>
          </w:p>
        </w:tc>
      </w:tr>
      <w:tr w:rsidR="000B579F">
        <w:trPr>
          <w:trHeight w:val="320"/>
        </w:trPr>
        <w:tc>
          <w:tcPr>
            <w:tcW w:w="687"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3</w:t>
            </w:r>
          </w:p>
        </w:tc>
        <w:tc>
          <w:tcPr>
            <w:tcW w:w="2362"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Profit before tax</w:t>
            </w:r>
          </w:p>
        </w:tc>
        <w:tc>
          <w:tcPr>
            <w:tcW w:w="1984"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79,229,811,464</w:t>
            </w:r>
          </w:p>
        </w:tc>
        <w:tc>
          <w:tcPr>
            <w:tcW w:w="1978"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Pr="00843BB5"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84,025,549,261</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sidRPr="00843BB5">
              <w:rPr>
                <w:rFonts w:ascii="Arial" w:hAnsi="Arial"/>
                <w:sz w:val="20"/>
              </w:rPr>
              <w:t>106.05</w:t>
            </w:r>
          </w:p>
        </w:tc>
      </w:tr>
    </w:tbl>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Approve the report on activities of the Supervisory Board in 2023</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3.</w:t>
      </w:r>
      <w:proofErr w:type="gramEnd"/>
      <w:r>
        <w:rPr>
          <w:rFonts w:ascii="Arial" w:hAnsi="Arial"/>
          <w:sz w:val="20"/>
        </w:rPr>
        <w:t xml:space="preserve"> </w:t>
      </w:r>
      <w:r>
        <w:rPr>
          <w:rFonts w:ascii="Arial" w:hAnsi="Arial"/>
          <w:sz w:val="20"/>
        </w:rPr>
        <w:t>Approve Proposal No. 47/</w:t>
      </w:r>
      <w:proofErr w:type="spellStart"/>
      <w:r>
        <w:rPr>
          <w:rFonts w:ascii="Arial" w:hAnsi="Arial"/>
          <w:sz w:val="20"/>
        </w:rPr>
        <w:t>TTr</w:t>
      </w:r>
      <w:proofErr w:type="spellEnd"/>
      <w:r>
        <w:rPr>
          <w:rFonts w:ascii="Arial" w:hAnsi="Arial"/>
          <w:sz w:val="20"/>
        </w:rPr>
        <w:t>-TSVN-BKS dated April 3, 2024 on the selection of the audit company for the Financial Statements 2024.</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Approve the authorization for the Board of Directors of the Corporation to select an independent audit company that meets lega</w:t>
      </w:r>
      <w:r>
        <w:rPr>
          <w:rFonts w:ascii="Arial" w:hAnsi="Arial"/>
          <w:sz w:val="20"/>
        </w:rPr>
        <w:t>l requirements to audit and review the Financial Statements 2024 of the Corporation based on the proposal of the Supervisory Board.</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4.</w:t>
      </w:r>
      <w:proofErr w:type="gramEnd"/>
      <w:r>
        <w:rPr>
          <w:rFonts w:ascii="Arial" w:hAnsi="Arial"/>
          <w:sz w:val="20"/>
        </w:rPr>
        <w:t xml:space="preserve"> Approve Proposal No. 51/</w:t>
      </w:r>
      <w:proofErr w:type="spellStart"/>
      <w:r>
        <w:rPr>
          <w:rFonts w:ascii="Arial" w:hAnsi="Arial"/>
          <w:sz w:val="20"/>
        </w:rPr>
        <w:t>TTr</w:t>
      </w:r>
      <w:proofErr w:type="spellEnd"/>
      <w:r>
        <w:rPr>
          <w:rFonts w:ascii="Arial" w:hAnsi="Arial"/>
          <w:sz w:val="20"/>
        </w:rPr>
        <w:t>-TSVN-HDQT dated April 5, 2024 on the approval of the audited Financial Statements (</w:t>
      </w:r>
      <w:r>
        <w:rPr>
          <w:rFonts w:ascii="Arial" w:hAnsi="Arial"/>
          <w:sz w:val="20"/>
        </w:rPr>
        <w:t>Consolidated and Separate) for 2023 of the Corporation.</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5.</w:t>
      </w:r>
      <w:proofErr w:type="gramEnd"/>
      <w:r>
        <w:rPr>
          <w:rFonts w:ascii="Arial" w:hAnsi="Arial"/>
          <w:sz w:val="20"/>
        </w:rPr>
        <w:t xml:space="preserve"> Approve Proposal No. 53/</w:t>
      </w:r>
      <w:proofErr w:type="spellStart"/>
      <w:r>
        <w:rPr>
          <w:rFonts w:ascii="Arial" w:hAnsi="Arial"/>
          <w:sz w:val="20"/>
        </w:rPr>
        <w:t>TTr</w:t>
      </w:r>
      <w:proofErr w:type="spellEnd"/>
      <w:r>
        <w:rPr>
          <w:rFonts w:ascii="Arial" w:hAnsi="Arial"/>
          <w:sz w:val="20"/>
        </w:rPr>
        <w:t>-TSVN-HDQT dated April 5, 2024 on the approval of some production and business plan targets for 2024, with some key targets as follows:</w:t>
      </w:r>
    </w:p>
    <w:tbl>
      <w:tblPr>
        <w:tblStyle w:val="a0"/>
        <w:tblW w:w="9016" w:type="dxa"/>
        <w:tblLayout w:type="fixed"/>
        <w:tblLook w:val="0400" w:firstRow="0" w:lastRow="0" w:firstColumn="0" w:lastColumn="0" w:noHBand="0" w:noVBand="1"/>
      </w:tblPr>
      <w:tblGrid>
        <w:gridCol w:w="492"/>
        <w:gridCol w:w="4735"/>
        <w:gridCol w:w="995"/>
        <w:gridCol w:w="2794"/>
      </w:tblGrid>
      <w:tr w:rsidR="000B579F">
        <w:trPr>
          <w:trHeight w:val="898"/>
        </w:trPr>
        <w:tc>
          <w:tcPr>
            <w:tcW w:w="492" w:type="dxa"/>
            <w:tcBorders>
              <w:top w:val="single" w:sz="4" w:space="0" w:color="000000"/>
              <w:left w:val="single" w:sz="4" w:space="0" w:color="000000"/>
            </w:tcBorders>
            <w:shd w:val="clear" w:color="auto" w:fill="FFFFFF"/>
            <w:tcMar>
              <w:top w:w="0" w:type="dxa"/>
              <w:bottom w:w="0" w:type="dxa"/>
            </w:tcMar>
            <w:vAlign w:val="cente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735" w:type="dxa"/>
            <w:tcBorders>
              <w:top w:val="single" w:sz="4" w:space="0" w:color="000000"/>
              <w:left w:val="single" w:sz="4" w:space="0" w:color="000000"/>
            </w:tcBorders>
            <w:shd w:val="clear" w:color="auto" w:fill="FFFFFF"/>
            <w:tcMar>
              <w:top w:w="0" w:type="dxa"/>
              <w:bottom w:w="0" w:type="dxa"/>
            </w:tcMar>
            <w:vAlign w:val="cente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Financial targets</w:t>
            </w:r>
          </w:p>
        </w:tc>
        <w:tc>
          <w:tcPr>
            <w:tcW w:w="995" w:type="dxa"/>
            <w:tcBorders>
              <w:top w:val="single" w:sz="4" w:space="0" w:color="000000"/>
              <w:left w:val="single" w:sz="4" w:space="0" w:color="000000"/>
            </w:tcBorders>
            <w:shd w:val="clear" w:color="auto" w:fill="FFFFFF"/>
            <w:tcMar>
              <w:top w:w="0" w:type="dxa"/>
              <w:bottom w:w="0" w:type="dxa"/>
            </w:tcMar>
            <w:vAlign w:val="cente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7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2024</w:t>
            </w:r>
          </w:p>
        </w:tc>
      </w:tr>
      <w:tr w:rsidR="000B579F">
        <w:trPr>
          <w:trHeight w:val="331"/>
        </w:trPr>
        <w:tc>
          <w:tcPr>
            <w:tcW w:w="49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735"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995"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279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143,578,000,000</w:t>
            </w:r>
          </w:p>
        </w:tc>
      </w:tr>
      <w:tr w:rsidR="000B579F">
        <w:trPr>
          <w:trHeight w:val="336"/>
        </w:trPr>
        <w:tc>
          <w:tcPr>
            <w:tcW w:w="49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735"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995"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279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73,320,000,000</w:t>
            </w:r>
          </w:p>
        </w:tc>
      </w:tr>
      <w:tr w:rsidR="000B579F">
        <w:trPr>
          <w:trHeight w:val="331"/>
        </w:trPr>
        <w:tc>
          <w:tcPr>
            <w:tcW w:w="492" w:type="dxa"/>
            <w:tcBorders>
              <w:top w:val="single" w:sz="4" w:space="0" w:color="000000"/>
              <w:lef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735" w:type="dxa"/>
            <w:tcBorders>
              <w:top w:val="single" w:sz="4" w:space="0" w:color="000000"/>
              <w:lef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995" w:type="dxa"/>
            <w:tcBorders>
              <w:top w:val="single" w:sz="4" w:space="0" w:color="000000"/>
              <w:lef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2794" w:type="dxa"/>
            <w:tcBorders>
              <w:top w:val="single" w:sz="4" w:space="0" w:color="000000"/>
              <w:left w:val="single" w:sz="4" w:space="0" w:color="000000"/>
              <w:righ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70,258,000,000</w:t>
            </w:r>
          </w:p>
        </w:tc>
      </w:tr>
      <w:tr w:rsidR="000B579F">
        <w:trPr>
          <w:trHeight w:val="350"/>
        </w:trPr>
        <w:tc>
          <w:tcPr>
            <w:tcW w:w="492"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735"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payout</w:t>
            </w:r>
          </w:p>
        </w:tc>
        <w:tc>
          <w:tcPr>
            <w:tcW w:w="995"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Default="000B579F">
            <w:pPr>
              <w:spacing w:after="120" w:line="360" w:lineRule="auto"/>
              <w:rPr>
                <w:rFonts w:ascii="Arial" w:eastAsia="Arial" w:hAnsi="Arial" w:cs="Arial"/>
                <w:sz w:val="20"/>
                <w:szCs w:val="20"/>
              </w:rPr>
            </w:pPr>
          </w:p>
        </w:tc>
        <w:tc>
          <w:tcPr>
            <w:tcW w:w="279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4%/par value</w:t>
            </w:r>
          </w:p>
        </w:tc>
      </w:tr>
    </w:tbl>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6.</w:t>
      </w:r>
      <w:proofErr w:type="gramEnd"/>
      <w:r>
        <w:rPr>
          <w:rFonts w:ascii="Arial" w:hAnsi="Arial"/>
          <w:sz w:val="20"/>
        </w:rPr>
        <w:t xml:space="preserve"> </w:t>
      </w:r>
      <w:r>
        <w:rPr>
          <w:rFonts w:ascii="Arial" w:hAnsi="Arial"/>
          <w:sz w:val="20"/>
        </w:rPr>
        <w:t>Approve Proposal No. 52/</w:t>
      </w:r>
      <w:proofErr w:type="spellStart"/>
      <w:r>
        <w:rPr>
          <w:rFonts w:ascii="Arial" w:hAnsi="Arial"/>
          <w:sz w:val="20"/>
        </w:rPr>
        <w:t>TTr</w:t>
      </w:r>
      <w:proofErr w:type="spellEnd"/>
      <w:r>
        <w:rPr>
          <w:rFonts w:ascii="Arial" w:hAnsi="Arial"/>
          <w:sz w:val="20"/>
        </w:rPr>
        <w:t>-TSVN-HDQT dated April 5, 2024 on the approval of the profit distribution plan for 2023 of the Corporation as follows:</w:t>
      </w:r>
    </w:p>
    <w:tbl>
      <w:tblPr>
        <w:tblStyle w:val="a1"/>
        <w:tblW w:w="9016" w:type="dxa"/>
        <w:tblLayout w:type="fixed"/>
        <w:tblLook w:val="0400" w:firstRow="0" w:lastRow="0" w:firstColumn="0" w:lastColumn="0" w:noHBand="0" w:noVBand="1"/>
      </w:tblPr>
      <w:tblGrid>
        <w:gridCol w:w="557"/>
        <w:gridCol w:w="6162"/>
        <w:gridCol w:w="2297"/>
      </w:tblGrid>
      <w:tr w:rsidR="000B579F">
        <w:trPr>
          <w:trHeight w:val="451"/>
        </w:trPr>
        <w:tc>
          <w:tcPr>
            <w:tcW w:w="557"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Value (VND)</w:t>
            </w:r>
          </w:p>
        </w:tc>
      </w:tr>
      <w:tr w:rsidR="000B579F">
        <w:trPr>
          <w:trHeight w:val="389"/>
        </w:trPr>
        <w:tc>
          <w:tcPr>
            <w:tcW w:w="557"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w:t>
            </w: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Holding company's profit after tax in 2023</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75,628,061,755</w:t>
            </w:r>
          </w:p>
        </w:tc>
      </w:tr>
      <w:tr w:rsidR="000B579F">
        <w:trPr>
          <w:trHeight w:val="451"/>
        </w:trPr>
        <w:tc>
          <w:tcPr>
            <w:tcW w:w="557"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profits from previous years</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556,221,509,059</w:t>
            </w:r>
          </w:p>
        </w:tc>
      </w:tr>
      <w:tr w:rsidR="000B579F">
        <w:trPr>
          <w:trHeight w:val="451"/>
        </w:trPr>
        <w:tc>
          <w:tcPr>
            <w:tcW w:w="557"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Accumulated profit after tax to be distributed</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631,849,570,814</w:t>
            </w:r>
          </w:p>
        </w:tc>
      </w:tr>
      <w:tr w:rsidR="000B579F">
        <w:trPr>
          <w:trHeight w:val="446"/>
        </w:trPr>
        <w:tc>
          <w:tcPr>
            <w:tcW w:w="557" w:type="dxa"/>
            <w:vMerge w:val="restart"/>
            <w:tcBorders>
              <w:top w:val="single" w:sz="4" w:space="0" w:color="000000"/>
              <w:left w:val="single" w:sz="4" w:space="0" w:color="000000"/>
            </w:tcBorders>
            <w:shd w:val="clear" w:color="auto" w:fill="FFFFFF"/>
            <w:tcMar>
              <w:top w:w="0" w:type="dxa"/>
              <w:bottom w:w="0" w:type="dxa"/>
            </w:tcMar>
            <w:vAlign w:val="cente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distribution in 2023:</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67,321,897,559</w:t>
            </w:r>
          </w:p>
        </w:tc>
      </w:tr>
      <w:tr w:rsidR="000B579F">
        <w:trPr>
          <w:trHeight w:val="1622"/>
        </w:trPr>
        <w:tc>
          <w:tcPr>
            <w:tcW w:w="557" w:type="dxa"/>
            <w:vMerge/>
            <w:tcBorders>
              <w:top w:val="single" w:sz="4" w:space="0" w:color="000000"/>
              <w:left w:val="single" w:sz="4" w:space="0" w:color="000000"/>
            </w:tcBorders>
            <w:shd w:val="clear" w:color="auto" w:fill="FFFFFF"/>
            <w:tcMar>
              <w:top w:w="0" w:type="dxa"/>
              <w:bottom w:w="0" w:type="dxa"/>
            </w:tcMar>
            <w:vAlign w:val="center"/>
          </w:tcPr>
          <w:p w:rsidR="000B579F" w:rsidRDefault="000B579F">
            <w:pPr>
              <w:pBdr>
                <w:top w:val="nil"/>
                <w:left w:val="nil"/>
                <w:bottom w:val="nil"/>
                <w:right w:val="nil"/>
                <w:between w:val="nil"/>
              </w:pBdr>
              <w:spacing w:line="276" w:lineRule="auto"/>
              <w:rPr>
                <w:rFonts w:ascii="Arial" w:eastAsia="Arial" w:hAnsi="Arial" w:cs="Arial"/>
                <w:sz w:val="20"/>
                <w:szCs w:val="20"/>
              </w:rPr>
            </w:pP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 Bonus and welfare fund (about 6.38% of profit after tax 2023), of which:</w:t>
            </w:r>
          </w:p>
          <w:p w:rsidR="000B579F" w:rsidRPr="00A50F55" w:rsidRDefault="00843BB5">
            <w:pPr>
              <w:numPr>
                <w:ilvl w:val="0"/>
                <w:numId w:val="2"/>
              </w:numPr>
              <w:pBdr>
                <w:top w:val="nil"/>
                <w:left w:val="nil"/>
                <w:bottom w:val="nil"/>
                <w:right w:val="nil"/>
                <w:between w:val="nil"/>
              </w:pBdr>
              <w:tabs>
                <w:tab w:val="left" w:pos="168"/>
              </w:tabs>
              <w:spacing w:after="120" w:line="360" w:lineRule="auto"/>
              <w:rPr>
                <w:rFonts w:ascii="Arial" w:eastAsia="Arial" w:hAnsi="Arial" w:cs="Arial"/>
                <w:i/>
                <w:sz w:val="20"/>
                <w:szCs w:val="20"/>
              </w:rPr>
            </w:pPr>
            <w:r w:rsidRPr="00A50F55">
              <w:rPr>
                <w:rFonts w:ascii="Arial" w:hAnsi="Arial"/>
                <w:i/>
                <w:sz w:val="20"/>
              </w:rPr>
              <w:t>Bonus</w:t>
            </w:r>
            <w:r>
              <w:rPr>
                <w:rFonts w:ascii="Arial" w:hAnsi="Arial"/>
                <w:sz w:val="20"/>
              </w:rPr>
              <w:t xml:space="preserve"> </w:t>
            </w:r>
            <w:r w:rsidRPr="00A50F55">
              <w:rPr>
                <w:rFonts w:ascii="Arial" w:hAnsi="Arial"/>
                <w:i/>
                <w:sz w:val="20"/>
              </w:rPr>
              <w:t>fund for managers</w:t>
            </w:r>
          </w:p>
          <w:p w:rsidR="000B579F" w:rsidRPr="00A50F55" w:rsidRDefault="00843BB5">
            <w:pPr>
              <w:numPr>
                <w:ilvl w:val="0"/>
                <w:numId w:val="2"/>
              </w:numPr>
              <w:pBdr>
                <w:top w:val="nil"/>
                <w:left w:val="nil"/>
                <w:bottom w:val="nil"/>
                <w:right w:val="nil"/>
                <w:between w:val="nil"/>
              </w:pBdr>
              <w:tabs>
                <w:tab w:val="left" w:pos="168"/>
              </w:tabs>
              <w:spacing w:after="120" w:line="360" w:lineRule="auto"/>
              <w:rPr>
                <w:rFonts w:ascii="Arial" w:eastAsia="Arial" w:hAnsi="Arial" w:cs="Arial"/>
                <w:i/>
                <w:sz w:val="20"/>
                <w:szCs w:val="20"/>
              </w:rPr>
            </w:pPr>
            <w:r w:rsidRPr="00A50F55">
              <w:rPr>
                <w:rFonts w:ascii="Arial" w:hAnsi="Arial"/>
                <w:i/>
                <w:sz w:val="20"/>
              </w:rPr>
              <w:t>Bonus fund for employees</w:t>
            </w:r>
          </w:p>
          <w:p w:rsidR="000B579F" w:rsidRDefault="00843BB5">
            <w:pPr>
              <w:numPr>
                <w:ilvl w:val="0"/>
                <w:numId w:val="2"/>
              </w:numPr>
              <w:pBdr>
                <w:top w:val="nil"/>
                <w:left w:val="nil"/>
                <w:bottom w:val="nil"/>
                <w:right w:val="nil"/>
                <w:between w:val="nil"/>
              </w:pBdr>
              <w:tabs>
                <w:tab w:val="left" w:pos="168"/>
              </w:tabs>
              <w:spacing w:after="120" w:line="360" w:lineRule="auto"/>
              <w:rPr>
                <w:rFonts w:ascii="Arial" w:eastAsia="Arial" w:hAnsi="Arial" w:cs="Arial"/>
                <w:sz w:val="20"/>
                <w:szCs w:val="20"/>
              </w:rPr>
            </w:pPr>
            <w:r w:rsidRPr="00A50F55">
              <w:rPr>
                <w:rFonts w:ascii="Arial" w:hAnsi="Arial"/>
                <w:i/>
                <w:sz w:val="20"/>
              </w:rPr>
              <w:t>Welfare fund for managers and employees</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4,826,647,559</w:t>
            </w:r>
          </w:p>
          <w:p w:rsidR="000B579F" w:rsidRPr="00A50F55" w:rsidRDefault="00843BB5">
            <w:pPr>
              <w:pBdr>
                <w:top w:val="nil"/>
                <w:left w:val="nil"/>
                <w:bottom w:val="nil"/>
                <w:right w:val="nil"/>
                <w:between w:val="nil"/>
              </w:pBdr>
              <w:spacing w:after="120" w:line="360" w:lineRule="auto"/>
              <w:rPr>
                <w:rFonts w:ascii="Arial" w:eastAsia="Arial" w:hAnsi="Arial" w:cs="Arial"/>
                <w:i/>
                <w:sz w:val="20"/>
                <w:szCs w:val="20"/>
              </w:rPr>
            </w:pPr>
            <w:r w:rsidRPr="00A50F55">
              <w:rPr>
                <w:rFonts w:ascii="Arial" w:hAnsi="Arial"/>
                <w:i/>
                <w:sz w:val="20"/>
              </w:rPr>
              <w:t>455,000,000</w:t>
            </w:r>
          </w:p>
          <w:p w:rsidR="000B579F" w:rsidRPr="00A50F55" w:rsidRDefault="00843BB5">
            <w:pPr>
              <w:pBdr>
                <w:top w:val="nil"/>
                <w:left w:val="nil"/>
                <w:bottom w:val="nil"/>
                <w:right w:val="nil"/>
                <w:between w:val="nil"/>
              </w:pBdr>
              <w:spacing w:after="120" w:line="360" w:lineRule="auto"/>
              <w:rPr>
                <w:rFonts w:ascii="Arial" w:eastAsia="Arial" w:hAnsi="Arial" w:cs="Arial"/>
                <w:i/>
                <w:sz w:val="20"/>
                <w:szCs w:val="20"/>
              </w:rPr>
            </w:pPr>
            <w:r w:rsidRPr="00A50F55">
              <w:rPr>
                <w:rFonts w:ascii="Arial" w:hAnsi="Arial"/>
                <w:i/>
                <w:sz w:val="20"/>
              </w:rPr>
              <w:t>1,311,494,268</w:t>
            </w:r>
          </w:p>
          <w:p w:rsidR="000B579F" w:rsidRDefault="00843BB5">
            <w:pPr>
              <w:pBdr>
                <w:top w:val="nil"/>
                <w:left w:val="nil"/>
                <w:bottom w:val="nil"/>
                <w:right w:val="nil"/>
                <w:between w:val="nil"/>
              </w:pBdr>
              <w:spacing w:after="120" w:line="360" w:lineRule="auto"/>
              <w:rPr>
                <w:rFonts w:ascii="Arial" w:eastAsia="Arial" w:hAnsi="Arial" w:cs="Arial"/>
                <w:sz w:val="20"/>
                <w:szCs w:val="20"/>
              </w:rPr>
            </w:pPr>
            <w:r w:rsidRPr="00A50F55">
              <w:rPr>
                <w:rFonts w:ascii="Arial" w:hAnsi="Arial"/>
                <w:i/>
                <w:sz w:val="20"/>
              </w:rPr>
              <w:t>3,060,153,292</w:t>
            </w:r>
          </w:p>
        </w:tc>
      </w:tr>
      <w:tr w:rsidR="000B579F">
        <w:trPr>
          <w:trHeight w:val="451"/>
        </w:trPr>
        <w:tc>
          <w:tcPr>
            <w:tcW w:w="557" w:type="dxa"/>
            <w:vMerge/>
            <w:tcBorders>
              <w:top w:val="single" w:sz="4" w:space="0" w:color="000000"/>
              <w:left w:val="single" w:sz="4" w:space="0" w:color="000000"/>
            </w:tcBorders>
            <w:shd w:val="clear" w:color="auto" w:fill="FFFFFF"/>
            <w:tcMar>
              <w:top w:w="0" w:type="dxa"/>
              <w:bottom w:w="0" w:type="dxa"/>
            </w:tcMar>
            <w:vAlign w:val="center"/>
          </w:tcPr>
          <w:p w:rsidR="000B579F" w:rsidRDefault="000B579F">
            <w:pPr>
              <w:pBdr>
                <w:top w:val="nil"/>
                <w:left w:val="nil"/>
                <w:bottom w:val="nil"/>
                <w:right w:val="nil"/>
                <w:between w:val="nil"/>
              </w:pBdr>
              <w:spacing w:line="276" w:lineRule="auto"/>
              <w:rPr>
                <w:rFonts w:ascii="Arial" w:eastAsia="Arial" w:hAnsi="Arial" w:cs="Arial"/>
                <w:sz w:val="20"/>
                <w:szCs w:val="20"/>
              </w:rPr>
            </w:pPr>
          </w:p>
        </w:tc>
        <w:tc>
          <w:tcPr>
            <w:tcW w:w="6162" w:type="dxa"/>
            <w:tcBorders>
              <w:top w:val="single" w:sz="4" w:space="0" w:color="000000"/>
              <w:lef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 Dividend payout 2023 at 5%/par value</w:t>
            </w:r>
          </w:p>
        </w:tc>
        <w:tc>
          <w:tcPr>
            <w:tcW w:w="229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62,495,250,000</w:t>
            </w:r>
          </w:p>
        </w:tc>
      </w:tr>
      <w:tr w:rsidR="000B579F">
        <w:trPr>
          <w:trHeight w:val="461"/>
        </w:trPr>
        <w:tc>
          <w:tcPr>
            <w:tcW w:w="557"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6162" w:type="dxa"/>
            <w:tcBorders>
              <w:top w:val="single" w:sz="4" w:space="0" w:color="000000"/>
              <w:left w:val="single" w:sz="4" w:space="0" w:color="000000"/>
              <w:bottom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Remaining undistributed profit</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0B579F" w:rsidRDefault="00843BB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564,527,673,255</w:t>
            </w:r>
          </w:p>
        </w:tc>
      </w:tr>
    </w:tbl>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7.</w:t>
      </w:r>
      <w:proofErr w:type="gramEnd"/>
      <w:r>
        <w:rPr>
          <w:rFonts w:ascii="Arial" w:hAnsi="Arial"/>
          <w:sz w:val="20"/>
        </w:rPr>
        <w:t xml:space="preserve"> </w:t>
      </w:r>
      <w:r>
        <w:rPr>
          <w:rFonts w:ascii="Arial" w:hAnsi="Arial"/>
          <w:sz w:val="20"/>
        </w:rPr>
        <w:t>Approve Proposal No. 54/</w:t>
      </w:r>
      <w:proofErr w:type="spellStart"/>
      <w:r>
        <w:rPr>
          <w:rFonts w:ascii="Arial" w:hAnsi="Arial"/>
          <w:sz w:val="20"/>
        </w:rPr>
        <w:t>TTr</w:t>
      </w:r>
      <w:proofErr w:type="spellEnd"/>
      <w:r>
        <w:rPr>
          <w:rFonts w:ascii="Arial" w:hAnsi="Arial"/>
          <w:sz w:val="20"/>
        </w:rPr>
        <w:t>-TSVN-HDQT dated April 5, 2024 on reporting the remuneration, income, operating expenses of the Board of Directors and Supervisory Board in 2023 and the payment plan for 2024, specifically as follows:</w:t>
      </w:r>
    </w:p>
    <w:p w:rsidR="000B579F" w:rsidRDefault="00843BB5" w:rsidP="00EC26BB">
      <w:pPr>
        <w:numPr>
          <w:ilvl w:val="0"/>
          <w:numId w:val="3"/>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The total remun</w:t>
      </w:r>
      <w:r>
        <w:rPr>
          <w:rFonts w:ascii="Arial" w:hAnsi="Arial"/>
          <w:sz w:val="20"/>
        </w:rPr>
        <w:t xml:space="preserve">eration of the Board of Directors and Supervisory Board in 2023 is VND 552,000,000, equal to the plan approved by the Annual General Meeting of Shareholders in 2023; The total income of the executive Supervisory Board in 2023 is VND 840,329,809 (Income of </w:t>
      </w:r>
      <w:r>
        <w:rPr>
          <w:rFonts w:ascii="Arial" w:hAnsi="Arial"/>
          <w:sz w:val="20"/>
        </w:rPr>
        <w:t>the executive Supervisory Board includes expenses from the implemented salary fund, bonus and welfare fund in 2023), in accordance with the General Mandate 2023.</w:t>
      </w:r>
    </w:p>
    <w:p w:rsidR="000B579F" w:rsidRDefault="00843BB5" w:rsidP="00EC26BB">
      <w:pPr>
        <w:numPr>
          <w:ilvl w:val="0"/>
          <w:numId w:val="3"/>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Remuneration of the Board of Directors and Supervisory Board in 2024 is VND 600,000,000; Salar</w:t>
      </w:r>
      <w:r>
        <w:rPr>
          <w:rFonts w:ascii="Arial" w:hAnsi="Arial"/>
          <w:sz w:val="20"/>
        </w:rPr>
        <w:t>ies of the executive Board of Directors and Supervisory Board in 2024 shall comply with the provisions of Decree No. 53/2016/ND-CP dated June 13, 2016 of the Government on labor, salary, remuneration, bonuses for joint-stock companies with state-owned cont</w:t>
      </w:r>
      <w:r>
        <w:rPr>
          <w:rFonts w:ascii="Arial" w:hAnsi="Arial"/>
          <w:sz w:val="20"/>
        </w:rPr>
        <w:t>rolling capital, Circular No. 28/2016/TT-BLDTBXH dated September 1, 2016 of the Ministry of Labor, Invalids and Social Affairs guiding the implementation of Decree No. 53 and the Corporation's Income Distribution and Salary Payment Regulation.</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8.</w:t>
      </w:r>
      <w:proofErr w:type="gramEnd"/>
      <w:r>
        <w:rPr>
          <w:rFonts w:ascii="Arial" w:hAnsi="Arial"/>
          <w:sz w:val="20"/>
        </w:rPr>
        <w:t xml:space="preserve"> </w:t>
      </w:r>
      <w:r>
        <w:rPr>
          <w:rFonts w:ascii="Arial" w:hAnsi="Arial"/>
          <w:sz w:val="20"/>
        </w:rPr>
        <w:t>Approve Proposal No. 55/</w:t>
      </w:r>
      <w:proofErr w:type="spellStart"/>
      <w:r>
        <w:rPr>
          <w:rFonts w:ascii="Arial" w:hAnsi="Arial"/>
          <w:sz w:val="20"/>
        </w:rPr>
        <w:t>TTr</w:t>
      </w:r>
      <w:proofErr w:type="spellEnd"/>
      <w:r>
        <w:rPr>
          <w:rFonts w:ascii="Arial" w:hAnsi="Arial"/>
          <w:sz w:val="20"/>
        </w:rPr>
        <w:t xml:space="preserve">-TSVN-HDQT dated April 5, 2024 on the dismissal of the Chief/Member of the Supervisory Board for Mr. Tran </w:t>
      </w:r>
      <w:proofErr w:type="spellStart"/>
      <w:r>
        <w:rPr>
          <w:rFonts w:ascii="Arial" w:hAnsi="Arial"/>
          <w:sz w:val="20"/>
        </w:rPr>
        <w:t>Phuoc</w:t>
      </w:r>
      <w:proofErr w:type="spellEnd"/>
      <w:r>
        <w:rPr>
          <w:rFonts w:ascii="Arial" w:hAnsi="Arial"/>
          <w:sz w:val="20"/>
        </w:rPr>
        <w:t xml:space="preserve"> Thai and the election of 01 (one) additional Member of the Supervisory Board for the term 2020 - 2024 to replace the</w:t>
      </w:r>
      <w:r>
        <w:rPr>
          <w:rFonts w:ascii="Arial" w:hAnsi="Arial"/>
          <w:sz w:val="20"/>
        </w:rPr>
        <w:t xml:space="preserve"> recently dismissed member.</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9.</w:t>
      </w:r>
      <w:proofErr w:type="gramEnd"/>
      <w:r>
        <w:rPr>
          <w:rFonts w:ascii="Arial" w:hAnsi="Arial"/>
          <w:sz w:val="20"/>
        </w:rPr>
        <w:t xml:space="preserve"> </w:t>
      </w:r>
      <w:r>
        <w:rPr>
          <w:rFonts w:ascii="Arial" w:hAnsi="Arial"/>
          <w:sz w:val="20"/>
        </w:rPr>
        <w:t>Approve Proposal No. 56/</w:t>
      </w:r>
      <w:proofErr w:type="spellStart"/>
      <w:r>
        <w:rPr>
          <w:rFonts w:ascii="Arial" w:hAnsi="Arial"/>
          <w:sz w:val="20"/>
        </w:rPr>
        <w:t>TTr</w:t>
      </w:r>
      <w:proofErr w:type="spellEnd"/>
      <w:r>
        <w:rPr>
          <w:rFonts w:ascii="Arial" w:hAnsi="Arial"/>
          <w:sz w:val="20"/>
        </w:rPr>
        <w:t>-TSVN-HDQT dated April 5, 2024 on the dismissal of Members of the Board of Directors for Ms. Luong Thi Thu Huong and Ms. Bui Thi Thanh An; and the election of 02 (two) additional Members o</w:t>
      </w:r>
      <w:r>
        <w:rPr>
          <w:rFonts w:ascii="Arial" w:hAnsi="Arial"/>
          <w:sz w:val="20"/>
        </w:rPr>
        <w:t>f the Board of Directors for the term 2020 - 2024 to replace the recently dismissed members.</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lastRenderedPageBreak/>
        <w:t>‎‎Article 10.</w:t>
      </w:r>
      <w:proofErr w:type="gramEnd"/>
      <w:r>
        <w:rPr>
          <w:rFonts w:ascii="Arial" w:hAnsi="Arial"/>
          <w:sz w:val="20"/>
        </w:rPr>
        <w:t xml:space="preserve"> </w:t>
      </w:r>
      <w:r>
        <w:rPr>
          <w:rFonts w:ascii="Arial" w:hAnsi="Arial"/>
          <w:sz w:val="20"/>
        </w:rPr>
        <w:t xml:space="preserve">Approve the list of candidates for the election of 02 (two) additional Members of the Board of Directors of the Corporation for the term 2020 - 2024 </w:t>
      </w:r>
      <w:r>
        <w:rPr>
          <w:rFonts w:ascii="Arial" w:hAnsi="Arial"/>
          <w:sz w:val="20"/>
        </w:rPr>
        <w:t>as follows:</w:t>
      </w:r>
    </w:p>
    <w:p w:rsidR="000B579F" w:rsidRDefault="00843BB5" w:rsidP="00EC26B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Ms. Do Thi Phuong Lan (nominated by shareholder HD Capital JSC (shareholder owning 14.4% of the Corporation's Charter Capital);</w:t>
      </w:r>
    </w:p>
    <w:p w:rsidR="000B579F" w:rsidRDefault="00843BB5" w:rsidP="00EC26B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Mr. </w:t>
      </w:r>
      <w:proofErr w:type="gramStart"/>
      <w:r>
        <w:rPr>
          <w:rFonts w:ascii="Arial" w:hAnsi="Arial"/>
          <w:sz w:val="20"/>
        </w:rPr>
        <w:t>Vo</w:t>
      </w:r>
      <w:proofErr w:type="gramEnd"/>
      <w:r>
        <w:rPr>
          <w:rFonts w:ascii="Arial" w:hAnsi="Arial"/>
          <w:sz w:val="20"/>
        </w:rPr>
        <w:t xml:space="preserve"> Tung Hung (nominated by a group of shareholders owning a total of 10.56% of the Corporation'</w:t>
      </w:r>
      <w:r>
        <w:rPr>
          <w:rFonts w:ascii="Arial" w:hAnsi="Arial"/>
          <w:sz w:val="20"/>
        </w:rPr>
        <w:t>s charter capital (including:  shareholder Power Finance Joint Stock Company, shareholder GELEX Group Joint Stock Company and shareholder Nguyen Thi Tai).</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11.</w:t>
      </w:r>
      <w:proofErr w:type="gramEnd"/>
      <w:r>
        <w:rPr>
          <w:rFonts w:ascii="Arial" w:hAnsi="Arial"/>
          <w:sz w:val="20"/>
        </w:rPr>
        <w:t xml:space="preserve"> </w:t>
      </w:r>
      <w:r>
        <w:rPr>
          <w:rFonts w:ascii="Arial" w:hAnsi="Arial"/>
          <w:sz w:val="20"/>
        </w:rPr>
        <w:t>Approve the list of candidates for the election of 01 (one) additional Member of the Su</w:t>
      </w:r>
      <w:r>
        <w:rPr>
          <w:rFonts w:ascii="Arial" w:hAnsi="Arial"/>
          <w:sz w:val="20"/>
        </w:rPr>
        <w:t>pervisory Board of the Corporation for the term 2020 - 2024 as follows:</w:t>
      </w:r>
    </w:p>
    <w:p w:rsidR="000B579F" w:rsidRDefault="00843BB5" w:rsidP="00EC26B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Ms. Pham Tram Anh (nominated by shareholder HD Capital JSC (shareholder owning 14.4% of the Corporation's Charter Capital).</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12.</w:t>
      </w:r>
      <w:proofErr w:type="gramEnd"/>
      <w:r>
        <w:rPr>
          <w:rFonts w:ascii="Arial" w:hAnsi="Arial"/>
          <w:sz w:val="20"/>
        </w:rPr>
        <w:t xml:space="preserve"> </w:t>
      </w:r>
      <w:r>
        <w:rPr>
          <w:rFonts w:ascii="Arial" w:hAnsi="Arial"/>
          <w:sz w:val="20"/>
        </w:rPr>
        <w:t>Approve the election results of 02 (two) addit</w:t>
      </w:r>
      <w:r>
        <w:rPr>
          <w:rFonts w:ascii="Arial" w:hAnsi="Arial"/>
          <w:sz w:val="20"/>
        </w:rPr>
        <w:t>ional Members of the Board of Directors of the Corporation for the term 2020 - 2024 as follows:</w:t>
      </w:r>
    </w:p>
    <w:p w:rsidR="000B579F" w:rsidRDefault="00843BB5" w:rsidP="00EC26B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Ms. Do Thi Phuong Lan</w:t>
      </w:r>
    </w:p>
    <w:p w:rsidR="000B579F" w:rsidRDefault="00843BB5" w:rsidP="00EC26B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Mr. </w:t>
      </w:r>
      <w:proofErr w:type="gramStart"/>
      <w:r>
        <w:rPr>
          <w:rFonts w:ascii="Arial" w:hAnsi="Arial"/>
          <w:sz w:val="20"/>
        </w:rPr>
        <w:t>Vo</w:t>
      </w:r>
      <w:proofErr w:type="gramEnd"/>
      <w:r>
        <w:rPr>
          <w:rFonts w:ascii="Arial" w:hAnsi="Arial"/>
          <w:sz w:val="20"/>
        </w:rPr>
        <w:t xml:space="preserve"> Tung Hung.</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13.</w:t>
      </w:r>
      <w:proofErr w:type="gramEnd"/>
      <w:r>
        <w:rPr>
          <w:rFonts w:ascii="Arial" w:hAnsi="Arial"/>
          <w:sz w:val="20"/>
        </w:rPr>
        <w:t xml:space="preserve"> </w:t>
      </w:r>
      <w:r>
        <w:rPr>
          <w:rFonts w:ascii="Arial" w:hAnsi="Arial"/>
          <w:sz w:val="20"/>
        </w:rPr>
        <w:t>Approve the election results of 01 (one) additional Member of the Supervisory Board of the Corporation for</w:t>
      </w:r>
      <w:r>
        <w:rPr>
          <w:rFonts w:ascii="Arial" w:hAnsi="Arial"/>
          <w:sz w:val="20"/>
        </w:rPr>
        <w:t xml:space="preserve"> the term 2020 - 2024 as follows:</w:t>
      </w:r>
    </w:p>
    <w:p w:rsidR="000B579F" w:rsidRDefault="00843BB5" w:rsidP="00EC26B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Ms. Pham Tram Anh</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14.</w:t>
      </w:r>
      <w:proofErr w:type="gramEnd"/>
      <w:r>
        <w:rPr>
          <w:rFonts w:ascii="Arial" w:hAnsi="Arial"/>
          <w:sz w:val="20"/>
        </w:rPr>
        <w:t xml:space="preserve"> Terms of enforcement</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was fully approved by the Annual General Meeting of Shareholders in 2024 of the Corporation at the Meeting and takes effect from April 26, 2024.</w:t>
      </w:r>
    </w:p>
    <w:p w:rsidR="000B579F" w:rsidRDefault="00843BB5" w:rsidP="00EC26B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 of the Corporation is responsible for implementing this General Mandate and organizing the implementation in accordance with the provisions of law and the Charter of Organization and Operation of the Corporation.</w:t>
      </w:r>
    </w:p>
    <w:sectPr w:rsidR="000B579F">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1272"/>
    <w:multiLevelType w:val="multilevel"/>
    <w:tmpl w:val="696AA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E671D3"/>
    <w:multiLevelType w:val="multilevel"/>
    <w:tmpl w:val="D9067EF4"/>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89738A1"/>
    <w:multiLevelType w:val="multilevel"/>
    <w:tmpl w:val="4F1C47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0B579F"/>
    <w:rsid w:val="000B579F"/>
    <w:rsid w:val="00843BB5"/>
    <w:rsid w:val="00A50F55"/>
    <w:rsid w:val="00DE3D07"/>
    <w:rsid w:val="00EC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02A53"/>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160"/>
    </w:pPr>
    <w:rPr>
      <w:rFonts w:ascii="Times New Roman" w:eastAsia="Times New Roman" w:hAnsi="Times New Roman" w:cs="Times New Roman"/>
      <w:sz w:val="20"/>
      <w:szCs w:val="20"/>
    </w:rPr>
  </w:style>
  <w:style w:type="paragraph" w:customStyle="1" w:styleId="Bodytext50">
    <w:name w:val="Body text (5)"/>
    <w:basedOn w:val="Normal"/>
    <w:link w:val="Bodytext5"/>
    <w:pPr>
      <w:spacing w:line="230" w:lineRule="auto"/>
    </w:pPr>
    <w:rPr>
      <w:rFonts w:ascii="Arial" w:eastAsia="Arial" w:hAnsi="Arial" w:cs="Arial"/>
      <w:color w:val="E02A53"/>
      <w:sz w:val="16"/>
      <w:szCs w:val="16"/>
    </w:rPr>
  </w:style>
  <w:style w:type="paragraph" w:customStyle="1" w:styleId="Heading11">
    <w:name w:val="Heading #1"/>
    <w:basedOn w:val="Normal"/>
    <w:link w:val="Heading10"/>
    <w:pPr>
      <w:spacing w:line="247" w:lineRule="auto"/>
      <w:outlineLvl w:val="0"/>
    </w:pPr>
    <w:rPr>
      <w:rFonts w:ascii="Times New Roman" w:eastAsia="Times New Roman" w:hAnsi="Times New Roman" w:cs="Times New Roman"/>
      <w:b/>
      <w:bCs/>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307" w:lineRule="auto"/>
    </w:pPr>
    <w:rPr>
      <w:rFonts w:ascii="Arial" w:eastAsia="Arial" w:hAnsi="Arial" w:cs="Arial"/>
      <w:sz w:val="20"/>
      <w:szCs w:val="20"/>
    </w:rPr>
  </w:style>
  <w:style w:type="paragraph" w:customStyle="1" w:styleId="Bodytext20">
    <w:name w:val="Body text (2)"/>
    <w:basedOn w:val="Normal"/>
    <w:link w:val="Bodytext2"/>
    <w:pPr>
      <w:spacing w:line="252" w:lineRule="auto"/>
    </w:pPr>
    <w:rPr>
      <w:rFonts w:ascii="Segoe UI" w:eastAsia="Segoe UI" w:hAnsi="Segoe UI" w:cs="Segoe UI"/>
      <w:sz w:val="16"/>
      <w:szCs w:val="16"/>
    </w:rPr>
  </w:style>
  <w:style w:type="paragraph" w:customStyle="1" w:styleId="Tablecaption0">
    <w:name w:val="Table caption"/>
    <w:basedOn w:val="Normal"/>
    <w:link w:val="Tablecaption"/>
    <w:pPr>
      <w:jc w:val="right"/>
    </w:pPr>
    <w:rPr>
      <w:rFonts w:ascii="Times New Roman" w:eastAsia="Times New Roman" w:hAnsi="Times New Roman" w:cs="Times New Roman"/>
      <w:i/>
      <w:iCs/>
    </w:rPr>
  </w:style>
  <w:style w:type="paragraph" w:styleId="ListParagraph">
    <w:name w:val="List Paragraph"/>
    <w:basedOn w:val="Normal"/>
    <w:uiPriority w:val="34"/>
    <w:qFormat/>
    <w:rsid w:val="000D7F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02A53"/>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160"/>
    </w:pPr>
    <w:rPr>
      <w:rFonts w:ascii="Times New Roman" w:eastAsia="Times New Roman" w:hAnsi="Times New Roman" w:cs="Times New Roman"/>
      <w:sz w:val="20"/>
      <w:szCs w:val="20"/>
    </w:rPr>
  </w:style>
  <w:style w:type="paragraph" w:customStyle="1" w:styleId="Bodytext50">
    <w:name w:val="Body text (5)"/>
    <w:basedOn w:val="Normal"/>
    <w:link w:val="Bodytext5"/>
    <w:pPr>
      <w:spacing w:line="230" w:lineRule="auto"/>
    </w:pPr>
    <w:rPr>
      <w:rFonts w:ascii="Arial" w:eastAsia="Arial" w:hAnsi="Arial" w:cs="Arial"/>
      <w:color w:val="E02A53"/>
      <w:sz w:val="16"/>
      <w:szCs w:val="16"/>
    </w:rPr>
  </w:style>
  <w:style w:type="paragraph" w:customStyle="1" w:styleId="Heading11">
    <w:name w:val="Heading #1"/>
    <w:basedOn w:val="Normal"/>
    <w:link w:val="Heading10"/>
    <w:pPr>
      <w:spacing w:line="247" w:lineRule="auto"/>
      <w:outlineLvl w:val="0"/>
    </w:pPr>
    <w:rPr>
      <w:rFonts w:ascii="Times New Roman" w:eastAsia="Times New Roman" w:hAnsi="Times New Roman" w:cs="Times New Roman"/>
      <w:b/>
      <w:bCs/>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307" w:lineRule="auto"/>
    </w:pPr>
    <w:rPr>
      <w:rFonts w:ascii="Arial" w:eastAsia="Arial" w:hAnsi="Arial" w:cs="Arial"/>
      <w:sz w:val="20"/>
      <w:szCs w:val="20"/>
    </w:rPr>
  </w:style>
  <w:style w:type="paragraph" w:customStyle="1" w:styleId="Bodytext20">
    <w:name w:val="Body text (2)"/>
    <w:basedOn w:val="Normal"/>
    <w:link w:val="Bodytext2"/>
    <w:pPr>
      <w:spacing w:line="252" w:lineRule="auto"/>
    </w:pPr>
    <w:rPr>
      <w:rFonts w:ascii="Segoe UI" w:eastAsia="Segoe UI" w:hAnsi="Segoe UI" w:cs="Segoe UI"/>
      <w:sz w:val="16"/>
      <w:szCs w:val="16"/>
    </w:rPr>
  </w:style>
  <w:style w:type="paragraph" w:customStyle="1" w:styleId="Tablecaption0">
    <w:name w:val="Table caption"/>
    <w:basedOn w:val="Normal"/>
    <w:link w:val="Tablecaption"/>
    <w:pPr>
      <w:jc w:val="right"/>
    </w:pPr>
    <w:rPr>
      <w:rFonts w:ascii="Times New Roman" w:eastAsia="Times New Roman" w:hAnsi="Times New Roman" w:cs="Times New Roman"/>
      <w:i/>
      <w:iCs/>
    </w:rPr>
  </w:style>
  <w:style w:type="paragraph" w:styleId="ListParagraph">
    <w:name w:val="List Paragraph"/>
    <w:basedOn w:val="Normal"/>
    <w:uiPriority w:val="34"/>
    <w:qFormat/>
    <w:rsid w:val="000D7F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qHKdn66Qklc2IcqN+QtvusQ8AQ==">CgMxLjA4AHIhMTMxaG9JaTRJZjJSNkZmTVB2djg4Zkozd3o1Q2xjaWF3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4984</Characters>
  <Application>Microsoft Office Word</Application>
  <DocSecurity>0</DocSecurity>
  <Lines>41</Lines>
  <Paragraphs>11</Paragraphs>
  <ScaleCrop>false</ScaleCrop>
  <Company>Hewlett-Packard Company</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2024-05-06T04:38:00Z</dcterms:created>
  <dcterms:modified xsi:type="dcterms:W3CDTF">2024-05-07T07:57:00Z</dcterms:modified>
</cp:coreProperties>
</file>