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5512F" w:rsidRPr="008D23E0" w:rsidRDefault="008D23E0" w:rsidP="00925052">
      <w:pPr>
        <w:pBdr>
          <w:top w:val="nil"/>
          <w:left w:val="nil"/>
          <w:bottom w:val="nil"/>
          <w:right w:val="nil"/>
          <w:between w:val="nil"/>
        </w:pBdr>
        <w:tabs>
          <w:tab w:val="left" w:pos="284"/>
          <w:tab w:val="left" w:pos="432"/>
        </w:tabs>
        <w:spacing w:after="120" w:line="360" w:lineRule="auto"/>
        <w:jc w:val="both"/>
        <w:rPr>
          <w:rFonts w:ascii="Arial" w:eastAsia="Arial" w:hAnsi="Arial" w:cs="Arial"/>
          <w:b/>
          <w:color w:val="010000"/>
          <w:sz w:val="20"/>
          <w:szCs w:val="20"/>
        </w:rPr>
      </w:pPr>
      <w:r>
        <w:rPr>
          <w:rFonts w:ascii="Arial" w:hAnsi="Arial"/>
          <w:b/>
          <w:color w:val="010000"/>
          <w:sz w:val="20"/>
        </w:rPr>
        <w:t>SGB: Annual General Mandate 2024</w:t>
      </w:r>
    </w:p>
    <w:p w14:paraId="00000002" w14:textId="29E7BAC2" w:rsidR="0005512F" w:rsidRPr="008D23E0" w:rsidRDefault="008D23E0" w:rsidP="00925052">
      <w:p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Pr>
          <w:rFonts w:ascii="Arial" w:hAnsi="Arial"/>
          <w:color w:val="010000"/>
          <w:sz w:val="20"/>
        </w:rPr>
        <w:t>On April 25, 2024, Saigon Bank for Industry and Trade announced General Mandate No. 1772/SGB-DHDCD-NQ as follows:</w:t>
      </w:r>
    </w:p>
    <w:p w14:paraId="00000003" w14:textId="77777777" w:rsidR="0005512F" w:rsidRPr="008D23E0" w:rsidRDefault="008D23E0" w:rsidP="00925052">
      <w:p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1.</w:t>
      </w:r>
      <w:proofErr w:type="gramEnd"/>
      <w:r>
        <w:rPr>
          <w:rFonts w:ascii="Arial" w:hAnsi="Arial"/>
          <w:color w:val="010000"/>
          <w:sz w:val="20"/>
        </w:rPr>
        <w:t xml:space="preserve"> Approve the Business Operations Report 2023; Business Plan 2024; Operations Report 2023 and Operational Orientation 2024 of the Board of Directors; Activity Reports 2023 of the Committees under the Board of Directors; Salary and remuneration funds for managers with the following basic contents:</w:t>
      </w:r>
    </w:p>
    <w:p w14:paraId="00000004" w14:textId="77777777" w:rsidR="0005512F" w:rsidRPr="008D23E0" w:rsidRDefault="008D23E0" w:rsidP="00925052">
      <w:pPr>
        <w:numPr>
          <w:ilvl w:val="0"/>
          <w:numId w:val="5"/>
        </w:numPr>
        <w:pBdr>
          <w:top w:val="nil"/>
          <w:left w:val="nil"/>
          <w:bottom w:val="nil"/>
          <w:right w:val="nil"/>
          <w:between w:val="nil"/>
        </w:pBdr>
        <w:tabs>
          <w:tab w:val="left" w:pos="284"/>
          <w:tab w:val="left" w:pos="432"/>
          <w:tab w:val="left" w:pos="2742"/>
        </w:tabs>
        <w:spacing w:after="120" w:line="360" w:lineRule="auto"/>
        <w:jc w:val="both"/>
        <w:rPr>
          <w:rFonts w:ascii="Arial" w:eastAsia="Arial" w:hAnsi="Arial" w:cs="Arial"/>
          <w:color w:val="010000"/>
          <w:sz w:val="20"/>
          <w:szCs w:val="20"/>
        </w:rPr>
      </w:pPr>
      <w:r>
        <w:rPr>
          <w:rFonts w:ascii="Arial" w:hAnsi="Arial"/>
          <w:color w:val="010000"/>
          <w:sz w:val="20"/>
        </w:rPr>
        <w:t>Business results in 2023:</w:t>
      </w:r>
    </w:p>
    <w:p w14:paraId="00000006" w14:textId="320B7F50" w:rsidR="0005512F" w:rsidRPr="001A44C5" w:rsidRDefault="008D23E0" w:rsidP="00925052">
      <w:pPr>
        <w:numPr>
          <w:ilvl w:val="0"/>
          <w:numId w:val="4"/>
        </w:numPr>
        <w:pBdr>
          <w:top w:val="nil"/>
          <w:left w:val="nil"/>
          <w:bottom w:val="nil"/>
          <w:right w:val="nil"/>
          <w:between w:val="nil"/>
        </w:pBdr>
        <w:tabs>
          <w:tab w:val="left" w:pos="284"/>
          <w:tab w:val="left" w:pos="432"/>
          <w:tab w:val="left" w:pos="2632"/>
        </w:tabs>
        <w:spacing w:after="120" w:line="360" w:lineRule="auto"/>
        <w:jc w:val="both"/>
        <w:rPr>
          <w:rFonts w:ascii="Arial" w:eastAsia="Arial" w:hAnsi="Arial" w:cs="Arial"/>
          <w:color w:val="010000"/>
          <w:sz w:val="20"/>
          <w:szCs w:val="20"/>
        </w:rPr>
      </w:pPr>
      <w:r>
        <w:rPr>
          <w:rFonts w:ascii="Arial" w:hAnsi="Arial"/>
          <w:color w:val="010000"/>
          <w:sz w:val="20"/>
        </w:rPr>
        <w:t>Total assets: VND 31,500.63 billion, up 13.73% from the beginning of the year, reaching 107.14% of the 2023 plan target.</w:t>
      </w:r>
    </w:p>
    <w:p w14:paraId="00000007" w14:textId="77777777" w:rsidR="0005512F" w:rsidRPr="008D23E0" w:rsidRDefault="008D23E0" w:rsidP="00925052">
      <w:pPr>
        <w:numPr>
          <w:ilvl w:val="0"/>
          <w:numId w:val="4"/>
        </w:numPr>
        <w:pBdr>
          <w:top w:val="nil"/>
          <w:left w:val="nil"/>
          <w:bottom w:val="nil"/>
          <w:right w:val="nil"/>
          <w:between w:val="nil"/>
        </w:pBdr>
        <w:tabs>
          <w:tab w:val="left" w:pos="284"/>
          <w:tab w:val="left" w:pos="432"/>
          <w:tab w:val="left" w:pos="2594"/>
        </w:tabs>
        <w:spacing w:after="120" w:line="360" w:lineRule="auto"/>
        <w:jc w:val="both"/>
        <w:rPr>
          <w:rFonts w:ascii="Arial" w:eastAsia="Arial" w:hAnsi="Arial" w:cs="Arial"/>
          <w:color w:val="010000"/>
          <w:sz w:val="20"/>
          <w:szCs w:val="20"/>
        </w:rPr>
      </w:pPr>
      <w:r>
        <w:rPr>
          <w:rFonts w:ascii="Arial" w:hAnsi="Arial"/>
          <w:color w:val="010000"/>
          <w:sz w:val="20"/>
        </w:rPr>
        <w:t>Mobilized capital: VND 26,607.72 billion, up 14.09% from the beginning of the year, reaching 107.51% of the 2023 plan target.</w:t>
      </w:r>
    </w:p>
    <w:p w14:paraId="00000008" w14:textId="77777777" w:rsidR="0005512F" w:rsidRPr="008D23E0" w:rsidRDefault="008D23E0" w:rsidP="00925052">
      <w:pPr>
        <w:numPr>
          <w:ilvl w:val="0"/>
          <w:numId w:val="4"/>
        </w:numPr>
        <w:pBdr>
          <w:top w:val="nil"/>
          <w:left w:val="nil"/>
          <w:bottom w:val="nil"/>
          <w:right w:val="nil"/>
          <w:between w:val="nil"/>
        </w:pBdr>
        <w:tabs>
          <w:tab w:val="left" w:pos="284"/>
          <w:tab w:val="left" w:pos="432"/>
          <w:tab w:val="left" w:pos="2603"/>
        </w:tabs>
        <w:spacing w:after="120" w:line="360" w:lineRule="auto"/>
        <w:jc w:val="both"/>
        <w:rPr>
          <w:rFonts w:ascii="Arial" w:eastAsia="Arial" w:hAnsi="Arial" w:cs="Arial"/>
          <w:color w:val="010000"/>
          <w:sz w:val="20"/>
          <w:szCs w:val="20"/>
        </w:rPr>
      </w:pPr>
      <w:r>
        <w:rPr>
          <w:rFonts w:ascii="Arial" w:hAnsi="Arial"/>
          <w:color w:val="010000"/>
          <w:sz w:val="20"/>
        </w:rPr>
        <w:t>Total loan amount VND 20,377.38 billion, up 4.16% from the beginning of the year, reaching 97.43% of the 2023 plan target.</w:t>
      </w:r>
    </w:p>
    <w:p w14:paraId="00000009" w14:textId="6F1B2F16" w:rsidR="0005512F" w:rsidRPr="008D23E0" w:rsidRDefault="008D23E0" w:rsidP="00925052">
      <w:pPr>
        <w:numPr>
          <w:ilvl w:val="0"/>
          <w:numId w:val="4"/>
        </w:numPr>
        <w:pBdr>
          <w:top w:val="nil"/>
          <w:left w:val="nil"/>
          <w:bottom w:val="nil"/>
          <w:right w:val="nil"/>
          <w:between w:val="nil"/>
        </w:pBdr>
        <w:tabs>
          <w:tab w:val="left" w:pos="284"/>
          <w:tab w:val="left" w:pos="432"/>
          <w:tab w:val="left" w:pos="2642"/>
          <w:tab w:val="left" w:pos="8842"/>
          <w:tab w:val="left" w:pos="10309"/>
        </w:tabs>
        <w:spacing w:after="120" w:line="360" w:lineRule="auto"/>
        <w:jc w:val="both"/>
        <w:rPr>
          <w:rFonts w:ascii="Arial" w:eastAsia="Arial" w:hAnsi="Arial" w:cs="Arial"/>
          <w:color w:val="010000"/>
          <w:sz w:val="20"/>
          <w:szCs w:val="20"/>
        </w:rPr>
      </w:pPr>
      <w:r>
        <w:rPr>
          <w:rFonts w:ascii="Arial" w:hAnsi="Arial"/>
          <w:color w:val="010000"/>
          <w:sz w:val="20"/>
        </w:rPr>
        <w:t xml:space="preserve">Bad debts (groups 3-5): 1.99% of total outstanding loans. </w:t>
      </w:r>
    </w:p>
    <w:p w14:paraId="0000000A" w14:textId="77777777" w:rsidR="0005512F" w:rsidRPr="008D23E0" w:rsidRDefault="008D23E0" w:rsidP="00925052">
      <w:pPr>
        <w:numPr>
          <w:ilvl w:val="0"/>
          <w:numId w:val="4"/>
        </w:numPr>
        <w:pBdr>
          <w:top w:val="nil"/>
          <w:left w:val="nil"/>
          <w:bottom w:val="nil"/>
          <w:right w:val="nil"/>
          <w:between w:val="nil"/>
        </w:pBdr>
        <w:tabs>
          <w:tab w:val="left" w:pos="284"/>
          <w:tab w:val="left" w:pos="432"/>
          <w:tab w:val="left" w:pos="2603"/>
        </w:tabs>
        <w:spacing w:after="120" w:line="360" w:lineRule="auto"/>
        <w:jc w:val="both"/>
        <w:rPr>
          <w:rFonts w:ascii="Arial" w:eastAsia="Arial" w:hAnsi="Arial" w:cs="Arial"/>
          <w:color w:val="010000"/>
          <w:sz w:val="20"/>
          <w:szCs w:val="20"/>
        </w:rPr>
      </w:pPr>
      <w:r>
        <w:rPr>
          <w:rFonts w:ascii="Arial" w:hAnsi="Arial"/>
          <w:color w:val="010000"/>
          <w:sz w:val="20"/>
        </w:rPr>
        <w:t>Profit before tax: VND 332.25 billion, reaching 110.75% of the 2023 plan target.</w:t>
      </w:r>
    </w:p>
    <w:p w14:paraId="0000000B" w14:textId="77777777" w:rsidR="0005512F" w:rsidRPr="008D23E0" w:rsidRDefault="008D23E0" w:rsidP="00925052">
      <w:pPr>
        <w:numPr>
          <w:ilvl w:val="0"/>
          <w:numId w:val="5"/>
        </w:numPr>
        <w:pBdr>
          <w:top w:val="nil"/>
          <w:left w:val="nil"/>
          <w:bottom w:val="nil"/>
          <w:right w:val="nil"/>
          <w:between w:val="nil"/>
        </w:pBdr>
        <w:tabs>
          <w:tab w:val="left" w:pos="284"/>
          <w:tab w:val="left" w:pos="432"/>
          <w:tab w:val="left" w:pos="2747"/>
        </w:tabs>
        <w:spacing w:after="120" w:line="360" w:lineRule="auto"/>
        <w:jc w:val="both"/>
        <w:rPr>
          <w:rFonts w:ascii="Arial" w:eastAsia="Arial" w:hAnsi="Arial" w:cs="Arial"/>
          <w:color w:val="010000"/>
          <w:sz w:val="20"/>
          <w:szCs w:val="20"/>
        </w:rPr>
      </w:pPr>
      <w:r>
        <w:rPr>
          <w:rFonts w:ascii="Arial" w:hAnsi="Arial"/>
          <w:color w:val="010000"/>
          <w:sz w:val="20"/>
        </w:rPr>
        <w:t>General orientation for 2024:</w:t>
      </w:r>
    </w:p>
    <w:p w14:paraId="0000000C" w14:textId="77777777" w:rsidR="0005512F" w:rsidRPr="008D23E0" w:rsidRDefault="008D23E0" w:rsidP="00925052">
      <w:p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Pr>
          <w:rFonts w:ascii="Arial" w:hAnsi="Arial"/>
          <w:color w:val="010000"/>
          <w:sz w:val="20"/>
        </w:rPr>
        <w:t>Implement the business plan 2024 in line with the orientation and objectives of the Government and the State Bank of Vietnam's monetary, credit and banking policies. Strengthen and improve the management system and risk management according to Basel II standards. Promote digital transformation according to an appropriate roadmap. Enhance brand value. Ensure SAIGONBANK's operations comply with the law, regulations of the State Bank of Vietnam, and ensure safe and efficient operations.</w:t>
      </w:r>
    </w:p>
    <w:p w14:paraId="0000000D" w14:textId="77777777" w:rsidR="0005512F" w:rsidRPr="008D23E0" w:rsidRDefault="008D23E0" w:rsidP="00925052">
      <w:pPr>
        <w:numPr>
          <w:ilvl w:val="0"/>
          <w:numId w:val="5"/>
        </w:num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Pr>
          <w:rFonts w:ascii="Arial" w:hAnsi="Arial"/>
          <w:color w:val="010000"/>
          <w:sz w:val="20"/>
        </w:rPr>
        <w:t>Plan for 2024:</w:t>
      </w:r>
    </w:p>
    <w:p w14:paraId="0000000E" w14:textId="77777777" w:rsidR="0005512F" w:rsidRPr="008D23E0" w:rsidRDefault="008D23E0" w:rsidP="00925052">
      <w:pPr>
        <w:numPr>
          <w:ilvl w:val="0"/>
          <w:numId w:val="6"/>
        </w:numPr>
        <w:pBdr>
          <w:top w:val="nil"/>
          <w:left w:val="nil"/>
          <w:bottom w:val="nil"/>
          <w:right w:val="nil"/>
          <w:between w:val="nil"/>
        </w:pBdr>
        <w:tabs>
          <w:tab w:val="left" w:pos="284"/>
          <w:tab w:val="left" w:pos="432"/>
          <w:tab w:val="left" w:pos="702"/>
        </w:tabs>
        <w:spacing w:after="120" w:line="360" w:lineRule="auto"/>
        <w:jc w:val="both"/>
        <w:rPr>
          <w:rFonts w:ascii="Arial" w:eastAsia="Arial" w:hAnsi="Arial" w:cs="Arial"/>
          <w:color w:val="010000"/>
          <w:sz w:val="20"/>
          <w:szCs w:val="20"/>
        </w:rPr>
      </w:pPr>
      <w:r>
        <w:rPr>
          <w:rFonts w:ascii="Arial" w:hAnsi="Arial"/>
          <w:color w:val="010000"/>
          <w:sz w:val="20"/>
        </w:rPr>
        <w:t>Total assets: VND 32,300 billion, up 3% compared to Results 2023</w:t>
      </w:r>
    </w:p>
    <w:p w14:paraId="0000000F" w14:textId="77777777" w:rsidR="0005512F" w:rsidRPr="008D23E0" w:rsidRDefault="008D23E0" w:rsidP="00925052">
      <w:pPr>
        <w:numPr>
          <w:ilvl w:val="0"/>
          <w:numId w:val="6"/>
        </w:numPr>
        <w:pBdr>
          <w:top w:val="nil"/>
          <w:left w:val="nil"/>
          <w:bottom w:val="nil"/>
          <w:right w:val="nil"/>
          <w:between w:val="nil"/>
        </w:pBdr>
        <w:tabs>
          <w:tab w:val="left" w:pos="284"/>
          <w:tab w:val="left" w:pos="432"/>
          <w:tab w:val="left" w:pos="702"/>
        </w:tabs>
        <w:spacing w:after="120" w:line="360" w:lineRule="auto"/>
        <w:jc w:val="both"/>
        <w:rPr>
          <w:rFonts w:ascii="Arial" w:eastAsia="Arial" w:hAnsi="Arial" w:cs="Arial"/>
          <w:color w:val="010000"/>
          <w:sz w:val="20"/>
          <w:szCs w:val="20"/>
        </w:rPr>
      </w:pPr>
      <w:r>
        <w:rPr>
          <w:rFonts w:ascii="Arial" w:hAnsi="Arial"/>
          <w:color w:val="010000"/>
          <w:sz w:val="20"/>
        </w:rPr>
        <w:t>Mobilized capital: VND 27,300 billion, up 3% compared to Results 2023</w:t>
      </w:r>
    </w:p>
    <w:p w14:paraId="00000010" w14:textId="77777777" w:rsidR="0005512F" w:rsidRPr="008D23E0" w:rsidRDefault="008D23E0" w:rsidP="00925052">
      <w:pPr>
        <w:numPr>
          <w:ilvl w:val="0"/>
          <w:numId w:val="6"/>
        </w:numPr>
        <w:pBdr>
          <w:top w:val="nil"/>
          <w:left w:val="nil"/>
          <w:bottom w:val="nil"/>
          <w:right w:val="nil"/>
          <w:between w:val="nil"/>
        </w:pBdr>
        <w:tabs>
          <w:tab w:val="left" w:pos="284"/>
          <w:tab w:val="left" w:pos="432"/>
          <w:tab w:val="left" w:pos="821"/>
        </w:tabs>
        <w:spacing w:after="120" w:line="360" w:lineRule="auto"/>
        <w:jc w:val="both"/>
        <w:rPr>
          <w:rFonts w:ascii="Arial" w:eastAsia="Arial" w:hAnsi="Arial" w:cs="Arial"/>
          <w:color w:val="010000"/>
          <w:sz w:val="20"/>
          <w:szCs w:val="20"/>
        </w:rPr>
      </w:pPr>
      <w:r>
        <w:rPr>
          <w:rFonts w:ascii="Arial" w:hAnsi="Arial"/>
          <w:color w:val="010000"/>
          <w:sz w:val="20"/>
        </w:rPr>
        <w:t>Total loan amount VND 23,000 billion, up 12.87% compared to Results 2023</w:t>
      </w:r>
    </w:p>
    <w:p w14:paraId="00000011" w14:textId="77777777" w:rsidR="0005512F" w:rsidRPr="008D23E0" w:rsidRDefault="008D23E0" w:rsidP="00925052">
      <w:pPr>
        <w:numPr>
          <w:ilvl w:val="0"/>
          <w:numId w:val="6"/>
        </w:numPr>
        <w:pBdr>
          <w:top w:val="nil"/>
          <w:left w:val="nil"/>
          <w:bottom w:val="nil"/>
          <w:right w:val="nil"/>
          <w:between w:val="nil"/>
        </w:pBdr>
        <w:tabs>
          <w:tab w:val="left" w:pos="284"/>
          <w:tab w:val="left" w:pos="432"/>
          <w:tab w:val="left" w:pos="698"/>
        </w:tabs>
        <w:spacing w:after="120" w:line="360" w:lineRule="auto"/>
        <w:jc w:val="both"/>
        <w:rPr>
          <w:rFonts w:ascii="Arial" w:eastAsia="Arial" w:hAnsi="Arial" w:cs="Arial"/>
          <w:color w:val="010000"/>
          <w:sz w:val="20"/>
          <w:szCs w:val="20"/>
        </w:rPr>
      </w:pPr>
      <w:r>
        <w:rPr>
          <w:rFonts w:ascii="Arial" w:hAnsi="Arial"/>
          <w:color w:val="010000"/>
          <w:sz w:val="20"/>
        </w:rPr>
        <w:t>Bad debts (groups 3-5): according to the regulations of the State Bank of Vietnam.</w:t>
      </w:r>
    </w:p>
    <w:p w14:paraId="00000012" w14:textId="77777777" w:rsidR="0005512F" w:rsidRPr="008D23E0" w:rsidRDefault="008D23E0" w:rsidP="00925052">
      <w:pPr>
        <w:numPr>
          <w:ilvl w:val="0"/>
          <w:numId w:val="6"/>
        </w:numPr>
        <w:pBdr>
          <w:top w:val="nil"/>
          <w:left w:val="nil"/>
          <w:bottom w:val="nil"/>
          <w:right w:val="nil"/>
          <w:between w:val="nil"/>
        </w:pBdr>
        <w:tabs>
          <w:tab w:val="left" w:pos="284"/>
          <w:tab w:val="left" w:pos="432"/>
          <w:tab w:val="left" w:pos="698"/>
        </w:tabs>
        <w:spacing w:after="120" w:line="360" w:lineRule="auto"/>
        <w:jc w:val="both"/>
        <w:rPr>
          <w:rFonts w:ascii="Arial" w:eastAsia="Arial" w:hAnsi="Arial" w:cs="Arial"/>
          <w:color w:val="010000"/>
          <w:sz w:val="20"/>
          <w:szCs w:val="20"/>
        </w:rPr>
      </w:pPr>
      <w:r>
        <w:rPr>
          <w:rFonts w:ascii="Arial" w:hAnsi="Arial"/>
          <w:color w:val="010000"/>
          <w:sz w:val="20"/>
        </w:rPr>
        <w:t>Foreign payment:  USD 240 million</w:t>
      </w:r>
    </w:p>
    <w:p w14:paraId="00000013" w14:textId="77777777" w:rsidR="0005512F" w:rsidRPr="008D23E0" w:rsidRDefault="008D23E0" w:rsidP="00925052">
      <w:pPr>
        <w:numPr>
          <w:ilvl w:val="0"/>
          <w:numId w:val="6"/>
        </w:numPr>
        <w:pBdr>
          <w:top w:val="nil"/>
          <w:left w:val="nil"/>
          <w:bottom w:val="nil"/>
          <w:right w:val="nil"/>
          <w:between w:val="nil"/>
        </w:pBdr>
        <w:tabs>
          <w:tab w:val="left" w:pos="284"/>
          <w:tab w:val="left" w:pos="432"/>
          <w:tab w:val="left" w:pos="698"/>
        </w:tabs>
        <w:spacing w:after="120" w:line="360" w:lineRule="auto"/>
        <w:jc w:val="both"/>
        <w:rPr>
          <w:rFonts w:ascii="Arial" w:eastAsia="Arial" w:hAnsi="Arial" w:cs="Arial"/>
          <w:color w:val="010000"/>
          <w:sz w:val="20"/>
          <w:szCs w:val="20"/>
        </w:rPr>
      </w:pPr>
      <w:r>
        <w:rPr>
          <w:rFonts w:ascii="Arial" w:hAnsi="Arial"/>
          <w:color w:val="010000"/>
          <w:sz w:val="20"/>
        </w:rPr>
        <w:t>Profit before tax: VND 368 billion</w:t>
      </w:r>
    </w:p>
    <w:p w14:paraId="00000014" w14:textId="77777777" w:rsidR="0005512F" w:rsidRPr="008D23E0" w:rsidRDefault="008D23E0" w:rsidP="00925052">
      <w:p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2.</w:t>
      </w:r>
      <w:proofErr w:type="gramEnd"/>
      <w:r>
        <w:rPr>
          <w:rFonts w:ascii="Arial" w:hAnsi="Arial"/>
          <w:color w:val="010000"/>
          <w:sz w:val="20"/>
        </w:rPr>
        <w:t xml:space="preserve"> Approve the report on activities of the Supervisory Board in 2023</w:t>
      </w:r>
    </w:p>
    <w:p w14:paraId="00000015" w14:textId="77777777" w:rsidR="0005512F" w:rsidRPr="008D23E0" w:rsidRDefault="008D23E0" w:rsidP="00925052">
      <w:p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3.</w:t>
      </w:r>
      <w:proofErr w:type="gramEnd"/>
      <w:r>
        <w:rPr>
          <w:rFonts w:ascii="Arial" w:hAnsi="Arial"/>
          <w:color w:val="010000"/>
          <w:sz w:val="20"/>
        </w:rPr>
        <w:t xml:space="preserve"> Approve the Profit distribution plan 2023</w:t>
      </w:r>
    </w:p>
    <w:p w14:paraId="00000016" w14:textId="77777777" w:rsidR="0005512F" w:rsidRPr="008D23E0" w:rsidRDefault="008D23E0" w:rsidP="00925052">
      <w:p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Pr>
          <w:rFonts w:ascii="Arial" w:hAnsi="Arial"/>
          <w:color w:val="010000"/>
          <w:sz w:val="20"/>
        </w:rPr>
        <w:t>Unit: VND</w:t>
      </w:r>
    </w:p>
    <w:p w14:paraId="00000017" w14:textId="77777777" w:rsidR="0005512F" w:rsidRPr="008D23E0" w:rsidRDefault="008D23E0" w:rsidP="00925052">
      <w:pPr>
        <w:numPr>
          <w:ilvl w:val="0"/>
          <w:numId w:val="1"/>
        </w:num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Pr>
          <w:rFonts w:ascii="Arial" w:hAnsi="Arial"/>
          <w:color w:val="010000"/>
          <w:sz w:val="20"/>
        </w:rPr>
        <w:lastRenderedPageBreak/>
        <w:t>Bank's profit:</w:t>
      </w:r>
    </w:p>
    <w:p w14:paraId="00000018" w14:textId="7F34F0B5" w:rsidR="0005512F" w:rsidRPr="008D23E0" w:rsidRDefault="007F7909" w:rsidP="00925052">
      <w:pPr>
        <w:numPr>
          <w:ilvl w:val="1"/>
          <w:numId w:val="1"/>
        </w:numPr>
        <w:pBdr>
          <w:top w:val="nil"/>
          <w:left w:val="nil"/>
          <w:bottom w:val="nil"/>
          <w:right w:val="nil"/>
          <w:between w:val="nil"/>
        </w:pBdr>
        <w:tabs>
          <w:tab w:val="left" w:pos="284"/>
          <w:tab w:val="left" w:pos="385"/>
          <w:tab w:val="left" w:pos="432"/>
          <w:tab w:val="right" w:pos="8798"/>
        </w:tabs>
        <w:spacing w:after="120" w:line="360" w:lineRule="auto"/>
        <w:jc w:val="both"/>
        <w:rPr>
          <w:rFonts w:ascii="Arial" w:eastAsia="Arial" w:hAnsi="Arial" w:cs="Arial"/>
          <w:color w:val="010000"/>
          <w:sz w:val="20"/>
          <w:szCs w:val="20"/>
        </w:rPr>
      </w:pPr>
      <w:r>
        <w:rPr>
          <w:rFonts w:ascii="Arial" w:hAnsi="Arial"/>
          <w:color w:val="010000"/>
          <w:sz w:val="20"/>
        </w:rPr>
        <w:t xml:space="preserve">. </w:t>
      </w:r>
      <w:r w:rsidR="008D23E0">
        <w:rPr>
          <w:rFonts w:ascii="Arial" w:hAnsi="Arial"/>
          <w:color w:val="010000"/>
          <w:sz w:val="20"/>
        </w:rPr>
        <w:t>Bank's consolidated profit before tax: 332,244,690,961</w:t>
      </w:r>
    </w:p>
    <w:p w14:paraId="00000019" w14:textId="1D8E8299" w:rsidR="0005512F" w:rsidRPr="008D23E0" w:rsidRDefault="007F7909" w:rsidP="00925052">
      <w:pPr>
        <w:numPr>
          <w:ilvl w:val="1"/>
          <w:numId w:val="1"/>
        </w:numPr>
        <w:pBdr>
          <w:top w:val="nil"/>
          <w:left w:val="nil"/>
          <w:bottom w:val="nil"/>
          <w:right w:val="nil"/>
          <w:between w:val="nil"/>
        </w:pBdr>
        <w:tabs>
          <w:tab w:val="left" w:pos="284"/>
          <w:tab w:val="left" w:pos="392"/>
          <w:tab w:val="left" w:pos="432"/>
          <w:tab w:val="right" w:pos="8813"/>
        </w:tabs>
        <w:spacing w:after="120" w:line="360" w:lineRule="auto"/>
        <w:jc w:val="both"/>
        <w:rPr>
          <w:rFonts w:ascii="Arial" w:eastAsia="Arial" w:hAnsi="Arial" w:cs="Arial"/>
          <w:color w:val="010000"/>
          <w:sz w:val="20"/>
          <w:szCs w:val="20"/>
        </w:rPr>
      </w:pPr>
      <w:r>
        <w:rPr>
          <w:rFonts w:ascii="Arial" w:hAnsi="Arial"/>
          <w:color w:val="010000"/>
          <w:sz w:val="20"/>
        </w:rPr>
        <w:t xml:space="preserve">. </w:t>
      </w:r>
      <w:r w:rsidR="008D23E0">
        <w:rPr>
          <w:rFonts w:ascii="Arial" w:hAnsi="Arial"/>
          <w:color w:val="010000"/>
          <w:sz w:val="20"/>
        </w:rPr>
        <w:t>Corporate income tax of the Bank: 65,456,364,543</w:t>
      </w:r>
    </w:p>
    <w:p w14:paraId="0000001A" w14:textId="649AB13E" w:rsidR="0005512F" w:rsidRPr="008D23E0" w:rsidRDefault="007F7909" w:rsidP="00925052">
      <w:pPr>
        <w:numPr>
          <w:ilvl w:val="1"/>
          <w:numId w:val="1"/>
        </w:numPr>
        <w:pBdr>
          <w:top w:val="nil"/>
          <w:left w:val="nil"/>
          <w:bottom w:val="nil"/>
          <w:right w:val="nil"/>
          <w:between w:val="nil"/>
        </w:pBdr>
        <w:tabs>
          <w:tab w:val="left" w:pos="284"/>
          <w:tab w:val="left" w:pos="389"/>
          <w:tab w:val="left" w:pos="432"/>
          <w:tab w:val="right" w:pos="8816"/>
        </w:tabs>
        <w:spacing w:after="120" w:line="360" w:lineRule="auto"/>
        <w:jc w:val="both"/>
        <w:rPr>
          <w:rFonts w:ascii="Arial" w:eastAsia="Arial" w:hAnsi="Arial" w:cs="Arial"/>
          <w:color w:val="010000"/>
          <w:sz w:val="20"/>
          <w:szCs w:val="20"/>
        </w:rPr>
      </w:pPr>
      <w:r>
        <w:rPr>
          <w:rFonts w:ascii="Arial" w:hAnsi="Arial"/>
          <w:color w:val="010000"/>
          <w:sz w:val="20"/>
        </w:rPr>
        <w:t xml:space="preserve">. </w:t>
      </w:r>
      <w:r w:rsidR="008D23E0">
        <w:rPr>
          <w:rFonts w:ascii="Arial" w:hAnsi="Arial"/>
          <w:color w:val="010000"/>
          <w:sz w:val="20"/>
        </w:rPr>
        <w:t>Bank's profit after tax: 266,788,326,418</w:t>
      </w:r>
    </w:p>
    <w:p w14:paraId="0000001B" w14:textId="77777777" w:rsidR="0005512F" w:rsidRPr="008D23E0" w:rsidRDefault="008D23E0" w:rsidP="00925052">
      <w:pPr>
        <w:numPr>
          <w:ilvl w:val="0"/>
          <w:numId w:val="1"/>
        </w:num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Pr>
          <w:rFonts w:ascii="Arial" w:hAnsi="Arial"/>
          <w:color w:val="010000"/>
          <w:sz w:val="20"/>
        </w:rPr>
        <w:t>Total profit distribution:</w:t>
      </w:r>
    </w:p>
    <w:p w14:paraId="0000001C" w14:textId="2D035ABF" w:rsidR="0005512F" w:rsidRPr="008D23E0" w:rsidRDefault="007F7909" w:rsidP="00925052">
      <w:pPr>
        <w:numPr>
          <w:ilvl w:val="1"/>
          <w:numId w:val="1"/>
        </w:numPr>
        <w:pBdr>
          <w:top w:val="nil"/>
          <w:left w:val="nil"/>
          <w:bottom w:val="nil"/>
          <w:right w:val="nil"/>
          <w:between w:val="nil"/>
        </w:pBdr>
        <w:tabs>
          <w:tab w:val="left" w:pos="284"/>
          <w:tab w:val="left" w:pos="432"/>
          <w:tab w:val="left" w:pos="7124"/>
        </w:tabs>
        <w:spacing w:after="120" w:line="360" w:lineRule="auto"/>
        <w:jc w:val="both"/>
        <w:rPr>
          <w:rFonts w:ascii="Arial" w:eastAsia="Arial" w:hAnsi="Arial" w:cs="Arial"/>
          <w:color w:val="010000"/>
          <w:sz w:val="20"/>
          <w:szCs w:val="20"/>
        </w:rPr>
      </w:pPr>
      <w:r>
        <w:rPr>
          <w:rFonts w:ascii="Arial" w:hAnsi="Arial"/>
          <w:color w:val="010000"/>
          <w:sz w:val="20"/>
        </w:rPr>
        <w:t xml:space="preserve">. Allocate to statutory funds: </w:t>
      </w:r>
      <w:r w:rsidR="008D23E0">
        <w:rPr>
          <w:rFonts w:ascii="Arial" w:hAnsi="Arial"/>
          <w:color w:val="010000"/>
          <w:sz w:val="20"/>
        </w:rPr>
        <w:t>40,018,248,963</w:t>
      </w:r>
    </w:p>
    <w:p w14:paraId="0000001D" w14:textId="77777777" w:rsidR="0005512F" w:rsidRPr="008D23E0" w:rsidRDefault="008D23E0" w:rsidP="00925052">
      <w:pPr>
        <w:numPr>
          <w:ilvl w:val="0"/>
          <w:numId w:val="6"/>
        </w:numPr>
        <w:pBdr>
          <w:top w:val="nil"/>
          <w:left w:val="nil"/>
          <w:bottom w:val="nil"/>
          <w:right w:val="nil"/>
          <w:between w:val="nil"/>
        </w:pBdr>
        <w:tabs>
          <w:tab w:val="left" w:pos="284"/>
          <w:tab w:val="left" w:pos="432"/>
          <w:tab w:val="left" w:pos="7078"/>
        </w:tabs>
        <w:spacing w:after="120" w:line="360" w:lineRule="auto"/>
        <w:jc w:val="both"/>
        <w:rPr>
          <w:rFonts w:ascii="Arial" w:eastAsia="Arial" w:hAnsi="Arial" w:cs="Arial"/>
          <w:color w:val="010000"/>
          <w:sz w:val="20"/>
          <w:szCs w:val="20"/>
        </w:rPr>
      </w:pPr>
      <w:r>
        <w:rPr>
          <w:rFonts w:ascii="Arial" w:hAnsi="Arial"/>
          <w:color w:val="010000"/>
          <w:sz w:val="20"/>
        </w:rPr>
        <w:t>Allocate to charter capital supplementary reserve fund (5%): 13,339,416,321</w:t>
      </w:r>
    </w:p>
    <w:p w14:paraId="0000001E" w14:textId="77777777" w:rsidR="0005512F" w:rsidRPr="008D23E0" w:rsidRDefault="008D23E0" w:rsidP="00925052">
      <w:p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Pr>
          <w:rFonts w:ascii="Arial" w:hAnsi="Arial"/>
          <w:color w:val="010000"/>
          <w:sz w:val="20"/>
        </w:rPr>
        <w:t>(According to Clause 3, Article 23 of Decree No. 93/2017/ND-CP dated August 7, 2017 of the Government)</w:t>
      </w:r>
    </w:p>
    <w:p w14:paraId="0000001F" w14:textId="77777777" w:rsidR="0005512F" w:rsidRPr="008D23E0" w:rsidRDefault="008D23E0" w:rsidP="00925052">
      <w:pPr>
        <w:numPr>
          <w:ilvl w:val="0"/>
          <w:numId w:val="6"/>
        </w:num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r>
        <w:rPr>
          <w:rFonts w:ascii="Arial" w:hAnsi="Arial"/>
          <w:color w:val="010000"/>
          <w:sz w:val="20"/>
        </w:rPr>
        <w:t>Allocate to financial reserve fund (10%): 26,678,832,642</w:t>
      </w:r>
    </w:p>
    <w:p w14:paraId="00000020" w14:textId="77777777" w:rsidR="0005512F" w:rsidRPr="008D23E0" w:rsidRDefault="008D23E0" w:rsidP="00925052">
      <w:pPr>
        <w:pBdr>
          <w:top w:val="nil"/>
          <w:left w:val="nil"/>
          <w:bottom w:val="nil"/>
          <w:right w:val="nil"/>
          <w:between w:val="nil"/>
        </w:pBdr>
        <w:tabs>
          <w:tab w:val="left" w:pos="284"/>
          <w:tab w:val="left" w:pos="432"/>
          <w:tab w:val="left" w:pos="9507"/>
        </w:tabs>
        <w:spacing w:after="120" w:line="360" w:lineRule="auto"/>
        <w:jc w:val="both"/>
        <w:rPr>
          <w:rFonts w:ascii="Arial" w:eastAsia="Arial" w:hAnsi="Arial" w:cs="Arial"/>
          <w:color w:val="010000"/>
          <w:sz w:val="20"/>
          <w:szCs w:val="20"/>
        </w:rPr>
      </w:pPr>
      <w:r>
        <w:rPr>
          <w:rFonts w:ascii="Arial" w:hAnsi="Arial"/>
          <w:color w:val="010000"/>
          <w:sz w:val="20"/>
        </w:rPr>
        <w:t>(According to Clause 4, Article 23 of Decree No. 93/2017/ND-CP dated August 7, 2017 of the Government)</w:t>
      </w:r>
    </w:p>
    <w:p w14:paraId="00000021" w14:textId="77777777" w:rsidR="0005512F" w:rsidRPr="008D23E0" w:rsidRDefault="008D23E0" w:rsidP="00925052">
      <w:pPr>
        <w:numPr>
          <w:ilvl w:val="1"/>
          <w:numId w:val="1"/>
        </w:num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sz w:val="20"/>
        </w:rPr>
        <w:t xml:space="preserve"> Remaining 2023 profit after allocating 2.1: 226,770,077,455</w:t>
      </w:r>
    </w:p>
    <w:p w14:paraId="00000022" w14:textId="77777777" w:rsidR="0005512F" w:rsidRPr="008D23E0" w:rsidRDefault="008D23E0" w:rsidP="00925052">
      <w:pPr>
        <w:pBdr>
          <w:top w:val="nil"/>
          <w:left w:val="nil"/>
          <w:bottom w:val="nil"/>
          <w:right w:val="nil"/>
          <w:between w:val="nil"/>
        </w:pBdr>
        <w:tabs>
          <w:tab w:val="left" w:pos="432"/>
        </w:tabs>
        <w:spacing w:after="120" w:line="360" w:lineRule="auto"/>
        <w:jc w:val="both"/>
        <w:rPr>
          <w:rFonts w:ascii="Arial" w:eastAsia="Arial" w:hAnsi="Arial" w:cs="Arial"/>
          <w:sz w:val="20"/>
          <w:szCs w:val="20"/>
        </w:rPr>
      </w:pPr>
      <w:r>
        <w:rPr>
          <w:rFonts w:ascii="Arial" w:hAnsi="Arial"/>
          <w:color w:val="010000"/>
          <w:sz w:val="20"/>
        </w:rPr>
        <w:t>Authorize the Board of Directors to decide on the allocation of other funds (Bonus and Welfare Fund for Employees; Bonus Fund for Managers) and reserve funds to increase charter capital in the form of share dividends to shareholders.</w:t>
      </w:r>
    </w:p>
    <w:p w14:paraId="00000023" w14:textId="77777777" w:rsidR="0005512F" w:rsidRPr="008D23E0" w:rsidRDefault="008D23E0" w:rsidP="00925052">
      <w:p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4.</w:t>
      </w:r>
      <w:proofErr w:type="gramEnd"/>
      <w:r>
        <w:rPr>
          <w:rFonts w:ascii="Arial" w:hAnsi="Arial"/>
          <w:color w:val="010000"/>
          <w:sz w:val="20"/>
        </w:rPr>
        <w:t xml:space="preserve"> Approve on authorizing the Board of Directors to settle some issues under the authority of the General Meeting of Shareholders between the two terms 2024-2025, specifically as follows:</w:t>
      </w:r>
    </w:p>
    <w:p w14:paraId="00000024" w14:textId="77777777" w:rsidR="0005512F" w:rsidRPr="008D23E0" w:rsidRDefault="008D23E0" w:rsidP="00925052">
      <w:pPr>
        <w:numPr>
          <w:ilvl w:val="0"/>
          <w:numId w:val="2"/>
        </w:numPr>
        <w:pBdr>
          <w:top w:val="nil"/>
          <w:left w:val="nil"/>
          <w:bottom w:val="nil"/>
          <w:right w:val="nil"/>
          <w:between w:val="nil"/>
        </w:pBdr>
        <w:tabs>
          <w:tab w:val="left" w:pos="284"/>
          <w:tab w:val="left" w:pos="432"/>
          <w:tab w:val="left" w:pos="1213"/>
        </w:tabs>
        <w:spacing w:after="120" w:line="360" w:lineRule="auto"/>
        <w:jc w:val="both"/>
        <w:rPr>
          <w:rFonts w:ascii="Arial" w:eastAsia="Arial" w:hAnsi="Arial" w:cs="Arial"/>
          <w:color w:val="010000"/>
          <w:sz w:val="20"/>
          <w:szCs w:val="20"/>
        </w:rPr>
      </w:pPr>
      <w:r>
        <w:rPr>
          <w:rFonts w:ascii="Arial" w:hAnsi="Arial"/>
          <w:color w:val="010000"/>
          <w:sz w:val="20"/>
        </w:rPr>
        <w:t>Decide on the organizational structure, management and administration apparatus of Saigon Bank for Industry and Trade; employee regulations, payroll, salary fund, remuneration for members of the Board of Directors and Supervisory Board.</w:t>
      </w:r>
    </w:p>
    <w:p w14:paraId="00000025" w14:textId="77777777" w:rsidR="0005512F" w:rsidRPr="008D23E0" w:rsidRDefault="008D23E0" w:rsidP="00925052">
      <w:pPr>
        <w:numPr>
          <w:ilvl w:val="0"/>
          <w:numId w:val="2"/>
        </w:numPr>
        <w:pBdr>
          <w:top w:val="nil"/>
          <w:left w:val="nil"/>
          <w:bottom w:val="nil"/>
          <w:right w:val="nil"/>
          <w:between w:val="nil"/>
        </w:pBdr>
        <w:tabs>
          <w:tab w:val="left" w:pos="284"/>
          <w:tab w:val="left" w:pos="432"/>
          <w:tab w:val="left" w:pos="1213"/>
        </w:tabs>
        <w:spacing w:after="120" w:line="360" w:lineRule="auto"/>
        <w:jc w:val="both"/>
        <w:rPr>
          <w:rFonts w:ascii="Arial" w:eastAsia="Arial" w:hAnsi="Arial" w:cs="Arial"/>
          <w:color w:val="010000"/>
          <w:sz w:val="20"/>
          <w:szCs w:val="20"/>
        </w:rPr>
      </w:pPr>
      <w:r>
        <w:rPr>
          <w:rFonts w:ascii="Arial" w:hAnsi="Arial"/>
          <w:color w:val="010000"/>
          <w:sz w:val="20"/>
        </w:rPr>
        <w:t>Amend and supplement the Charter of Saigon Bank for Industry and Trade in accordance with current legal regulations.</w:t>
      </w:r>
    </w:p>
    <w:p w14:paraId="00000026" w14:textId="77777777" w:rsidR="0005512F" w:rsidRPr="008D23E0" w:rsidRDefault="008D23E0" w:rsidP="00925052">
      <w:pPr>
        <w:numPr>
          <w:ilvl w:val="0"/>
          <w:numId w:val="2"/>
        </w:numPr>
        <w:pBdr>
          <w:top w:val="nil"/>
          <w:left w:val="nil"/>
          <w:bottom w:val="nil"/>
          <w:right w:val="nil"/>
          <w:between w:val="nil"/>
        </w:pBdr>
        <w:tabs>
          <w:tab w:val="left" w:pos="284"/>
          <w:tab w:val="left" w:pos="432"/>
          <w:tab w:val="left" w:pos="1206"/>
        </w:tabs>
        <w:spacing w:after="120" w:line="360" w:lineRule="auto"/>
        <w:jc w:val="both"/>
        <w:rPr>
          <w:rFonts w:ascii="Arial" w:eastAsia="Arial" w:hAnsi="Arial" w:cs="Arial"/>
          <w:color w:val="010000"/>
          <w:sz w:val="20"/>
          <w:szCs w:val="20"/>
        </w:rPr>
      </w:pPr>
      <w:r>
        <w:rPr>
          <w:rFonts w:ascii="Arial" w:hAnsi="Arial"/>
          <w:color w:val="010000"/>
          <w:sz w:val="20"/>
        </w:rPr>
        <w:t>Select an audit company to review the semi-annual Financial Statements, audit the Financial Statements 2025 and the activities of Saigon Bank for Industry and Trade's internal control system.</w:t>
      </w:r>
    </w:p>
    <w:p w14:paraId="00000027" w14:textId="77777777" w:rsidR="0005512F" w:rsidRPr="008D23E0" w:rsidRDefault="008D23E0" w:rsidP="00925052">
      <w:pPr>
        <w:numPr>
          <w:ilvl w:val="0"/>
          <w:numId w:val="2"/>
        </w:numPr>
        <w:pBdr>
          <w:top w:val="nil"/>
          <w:left w:val="nil"/>
          <w:bottom w:val="nil"/>
          <w:right w:val="nil"/>
          <w:between w:val="nil"/>
        </w:pBdr>
        <w:tabs>
          <w:tab w:val="left" w:pos="284"/>
          <w:tab w:val="left" w:pos="432"/>
          <w:tab w:val="left" w:pos="1228"/>
        </w:tabs>
        <w:spacing w:after="120" w:line="360" w:lineRule="auto"/>
        <w:jc w:val="both"/>
        <w:rPr>
          <w:rFonts w:ascii="Arial" w:eastAsia="Arial" w:hAnsi="Arial" w:cs="Arial"/>
          <w:color w:val="010000"/>
          <w:sz w:val="20"/>
          <w:szCs w:val="20"/>
        </w:rPr>
      </w:pPr>
      <w:r>
        <w:rPr>
          <w:rFonts w:ascii="Arial" w:hAnsi="Arial"/>
          <w:color w:val="010000"/>
          <w:sz w:val="20"/>
        </w:rPr>
        <w:t>Amend and supplement the Regulation on organization and operation of the Board of Directors and the Internal Regulation on Corporate Governance of Saigon Bank for Industry and Trade in accordance with current regulations.</w:t>
      </w:r>
    </w:p>
    <w:p w14:paraId="00000028" w14:textId="77777777" w:rsidR="0005512F" w:rsidRPr="008D23E0" w:rsidRDefault="008D23E0" w:rsidP="00925052">
      <w:pPr>
        <w:numPr>
          <w:ilvl w:val="0"/>
          <w:numId w:val="2"/>
        </w:numPr>
        <w:pBdr>
          <w:top w:val="nil"/>
          <w:left w:val="nil"/>
          <w:bottom w:val="nil"/>
          <w:right w:val="nil"/>
          <w:between w:val="nil"/>
        </w:pBdr>
        <w:tabs>
          <w:tab w:val="left" w:pos="284"/>
          <w:tab w:val="left" w:pos="432"/>
          <w:tab w:val="left" w:pos="1228"/>
        </w:tabs>
        <w:spacing w:after="120" w:line="360" w:lineRule="auto"/>
        <w:jc w:val="both"/>
        <w:rPr>
          <w:rFonts w:ascii="Arial" w:eastAsia="Arial" w:hAnsi="Arial" w:cs="Arial"/>
          <w:color w:val="010000"/>
          <w:sz w:val="20"/>
          <w:szCs w:val="20"/>
        </w:rPr>
      </w:pPr>
      <w:r>
        <w:rPr>
          <w:rFonts w:ascii="Arial" w:hAnsi="Arial"/>
          <w:color w:val="010000"/>
          <w:sz w:val="20"/>
        </w:rPr>
        <w:t>Adjust the operating targets 2024 in accordance with the actual situation of the economy for the Bank's operations and the regulations of the State Bank of Vietnam.</w:t>
      </w:r>
    </w:p>
    <w:p w14:paraId="00000029" w14:textId="77777777" w:rsidR="0005512F" w:rsidRPr="008D23E0" w:rsidRDefault="008D23E0" w:rsidP="00925052">
      <w:pPr>
        <w:numPr>
          <w:ilvl w:val="0"/>
          <w:numId w:val="2"/>
        </w:numPr>
        <w:pBdr>
          <w:top w:val="nil"/>
          <w:left w:val="nil"/>
          <w:bottom w:val="nil"/>
          <w:right w:val="nil"/>
          <w:between w:val="nil"/>
        </w:pBdr>
        <w:tabs>
          <w:tab w:val="left" w:pos="284"/>
          <w:tab w:val="left" w:pos="432"/>
          <w:tab w:val="left" w:pos="1228"/>
        </w:tabs>
        <w:spacing w:after="120" w:line="360" w:lineRule="auto"/>
        <w:jc w:val="both"/>
        <w:rPr>
          <w:rFonts w:ascii="Arial" w:eastAsia="Arial" w:hAnsi="Arial" w:cs="Arial"/>
          <w:color w:val="010000"/>
          <w:sz w:val="20"/>
          <w:szCs w:val="20"/>
        </w:rPr>
      </w:pPr>
      <w:r>
        <w:rPr>
          <w:rFonts w:ascii="Arial" w:hAnsi="Arial"/>
          <w:color w:val="010000"/>
          <w:sz w:val="20"/>
        </w:rPr>
        <w:t>Decide on the profit distribution plan.</w:t>
      </w:r>
    </w:p>
    <w:p w14:paraId="0000002A" w14:textId="77777777" w:rsidR="0005512F" w:rsidRPr="008D23E0" w:rsidRDefault="008D23E0" w:rsidP="00925052">
      <w:pPr>
        <w:numPr>
          <w:ilvl w:val="0"/>
          <w:numId w:val="2"/>
        </w:numPr>
        <w:pBdr>
          <w:top w:val="nil"/>
          <w:left w:val="nil"/>
          <w:bottom w:val="nil"/>
          <w:right w:val="nil"/>
          <w:between w:val="nil"/>
        </w:pBdr>
        <w:tabs>
          <w:tab w:val="left" w:pos="284"/>
          <w:tab w:val="left" w:pos="432"/>
          <w:tab w:val="left" w:pos="1228"/>
        </w:tabs>
        <w:spacing w:after="120" w:line="360" w:lineRule="auto"/>
        <w:jc w:val="both"/>
        <w:rPr>
          <w:rFonts w:ascii="Arial" w:eastAsia="Arial" w:hAnsi="Arial" w:cs="Arial"/>
          <w:color w:val="010000"/>
          <w:sz w:val="20"/>
          <w:szCs w:val="20"/>
        </w:rPr>
      </w:pPr>
      <w:r>
        <w:rPr>
          <w:rFonts w:ascii="Arial" w:hAnsi="Arial"/>
          <w:color w:val="010000"/>
          <w:sz w:val="20"/>
        </w:rPr>
        <w:t xml:space="preserve">Approve Saigon Bank for Industry and Trade's Development Strategy to 2025, with orientation to 2030 (including the Comprehensive Financial Strategy) according to Decision No. 34/QD-NHNN dated January 7, 2019 and Decision No. 1309/QD-NHNN dated July 24, 2020 of the State Bank of </w:t>
      </w:r>
      <w:r>
        <w:rPr>
          <w:rFonts w:ascii="Arial" w:hAnsi="Arial"/>
          <w:color w:val="010000"/>
          <w:sz w:val="20"/>
        </w:rPr>
        <w:lastRenderedPageBreak/>
        <w:t>Vietnam.</w:t>
      </w:r>
    </w:p>
    <w:p w14:paraId="0000002B" w14:textId="77777777" w:rsidR="0005512F" w:rsidRPr="008D23E0" w:rsidRDefault="008D23E0" w:rsidP="00925052">
      <w:pPr>
        <w:pBdr>
          <w:top w:val="nil"/>
          <w:left w:val="nil"/>
          <w:bottom w:val="nil"/>
          <w:right w:val="nil"/>
          <w:between w:val="nil"/>
        </w:pBdr>
        <w:tabs>
          <w:tab w:val="left" w:pos="284"/>
          <w:tab w:val="left" w:pos="432"/>
        </w:tabs>
        <w:spacing w:after="120" w:line="360" w:lineRule="auto"/>
        <w:jc w:val="both"/>
        <w:rPr>
          <w:rFonts w:ascii="Arial" w:eastAsia="Arial" w:hAnsi="Arial" w:cs="Arial"/>
          <w:color w:val="010000"/>
          <w:sz w:val="20"/>
          <w:szCs w:val="20"/>
        </w:rPr>
      </w:pPr>
      <w:proofErr w:type="gramStart"/>
      <w:r>
        <w:rPr>
          <w:rFonts w:ascii="Arial" w:hAnsi="Arial"/>
          <w:color w:val="010000"/>
          <w:sz w:val="20"/>
        </w:rPr>
        <w:t>‎‎Article 5.</w:t>
      </w:r>
      <w:proofErr w:type="gramEnd"/>
      <w:r>
        <w:rPr>
          <w:rFonts w:ascii="Arial" w:hAnsi="Arial"/>
          <w:color w:val="010000"/>
          <w:sz w:val="20"/>
        </w:rPr>
        <w:t xml:space="preserve"> Terms of enforcement</w:t>
      </w:r>
    </w:p>
    <w:p w14:paraId="0000002C" w14:textId="77777777" w:rsidR="0005512F" w:rsidRPr="008D23E0" w:rsidRDefault="008D23E0" w:rsidP="00925052">
      <w:pPr>
        <w:numPr>
          <w:ilvl w:val="0"/>
          <w:numId w:val="3"/>
        </w:numPr>
        <w:pBdr>
          <w:top w:val="nil"/>
          <w:left w:val="nil"/>
          <w:bottom w:val="nil"/>
          <w:right w:val="nil"/>
          <w:between w:val="nil"/>
        </w:pBdr>
        <w:tabs>
          <w:tab w:val="left" w:pos="284"/>
          <w:tab w:val="left" w:pos="432"/>
          <w:tab w:val="left" w:pos="952"/>
        </w:tabs>
        <w:spacing w:after="120" w:line="360" w:lineRule="auto"/>
        <w:jc w:val="both"/>
        <w:rPr>
          <w:rFonts w:ascii="Arial" w:eastAsia="Arial" w:hAnsi="Arial" w:cs="Arial"/>
          <w:color w:val="010000"/>
          <w:sz w:val="20"/>
          <w:szCs w:val="20"/>
        </w:rPr>
      </w:pPr>
      <w:r>
        <w:rPr>
          <w:rFonts w:ascii="Arial" w:hAnsi="Arial"/>
          <w:color w:val="010000"/>
          <w:sz w:val="20"/>
        </w:rPr>
        <w:t>This General Mandate was unanimously approved in its entirety at the Annual General Meeting of Shareholders 2024 and takes effect from the date of approval.</w:t>
      </w:r>
    </w:p>
    <w:p w14:paraId="0000002D" w14:textId="3B37C6F6" w:rsidR="0005512F" w:rsidRPr="008D23E0" w:rsidRDefault="008D23E0" w:rsidP="00925052">
      <w:pPr>
        <w:numPr>
          <w:ilvl w:val="0"/>
          <w:numId w:val="3"/>
        </w:numPr>
        <w:pBdr>
          <w:top w:val="nil"/>
          <w:left w:val="nil"/>
          <w:bottom w:val="nil"/>
          <w:right w:val="nil"/>
          <w:between w:val="nil"/>
        </w:pBdr>
        <w:tabs>
          <w:tab w:val="left" w:pos="284"/>
          <w:tab w:val="left" w:pos="432"/>
          <w:tab w:val="left" w:pos="952"/>
        </w:tabs>
        <w:spacing w:after="120" w:line="360" w:lineRule="auto"/>
        <w:jc w:val="both"/>
        <w:rPr>
          <w:rFonts w:ascii="Arial" w:eastAsia="Arial" w:hAnsi="Arial" w:cs="Arial"/>
          <w:color w:val="010000"/>
          <w:sz w:val="20"/>
          <w:szCs w:val="20"/>
        </w:rPr>
      </w:pPr>
      <w:r>
        <w:rPr>
          <w:rFonts w:ascii="Arial" w:hAnsi="Arial"/>
          <w:color w:val="010000"/>
          <w:sz w:val="20"/>
        </w:rPr>
        <w:t xml:space="preserve">The General Meeting of Shareholders assigns the Board of Directors to organize the implementation of this General Mandate and carry out procedures for reporting to competent authorities and disclosing information in accordance with the law and the Charter of Saigon Bank for Industry and Trade. </w:t>
      </w:r>
    </w:p>
    <w:p w14:paraId="3113819F" w14:textId="77777777" w:rsidR="007F7909" w:rsidRPr="008D23E0" w:rsidRDefault="007F7909" w:rsidP="007F7909">
      <w:pPr>
        <w:pBdr>
          <w:top w:val="nil"/>
          <w:left w:val="nil"/>
          <w:bottom w:val="nil"/>
          <w:right w:val="nil"/>
          <w:between w:val="nil"/>
        </w:pBdr>
        <w:tabs>
          <w:tab w:val="left" w:pos="284"/>
          <w:tab w:val="left" w:pos="432"/>
          <w:tab w:val="left" w:pos="952"/>
        </w:tabs>
        <w:spacing w:after="120" w:line="360" w:lineRule="auto"/>
        <w:jc w:val="both"/>
        <w:rPr>
          <w:rFonts w:ascii="Arial" w:eastAsia="Arial" w:hAnsi="Arial" w:cs="Arial"/>
          <w:color w:val="010000"/>
          <w:sz w:val="20"/>
          <w:szCs w:val="20"/>
        </w:rPr>
      </w:pPr>
      <w:bookmarkStart w:id="0" w:name="_GoBack"/>
      <w:bookmarkEnd w:id="0"/>
    </w:p>
    <w:sectPr w:rsidR="007F7909" w:rsidRPr="008D23E0" w:rsidSect="008D23E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423B5"/>
    <w:multiLevelType w:val="multilevel"/>
    <w:tmpl w:val="2B0272C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A681793"/>
    <w:multiLevelType w:val="multilevel"/>
    <w:tmpl w:val="534E703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6615485"/>
    <w:multiLevelType w:val="multilevel"/>
    <w:tmpl w:val="62DE54A0"/>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BE20E37"/>
    <w:multiLevelType w:val="multilevel"/>
    <w:tmpl w:val="2FD8D1BE"/>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25042B6"/>
    <w:multiLevelType w:val="multilevel"/>
    <w:tmpl w:val="13EECF1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7C9E7D37"/>
    <w:multiLevelType w:val="multilevel"/>
    <w:tmpl w:val="00E2495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2F"/>
    <w:rsid w:val="0005512F"/>
    <w:rsid w:val="001A44C5"/>
    <w:rsid w:val="007F7909"/>
    <w:rsid w:val="008D23E0"/>
    <w:rsid w:val="0092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E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AE404E"/>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Mclc">
    <w:name w:val="Mục lục_"/>
    <w:basedOn w:val="DefaultParagraphFont"/>
    <w:link w:val="Mclc0"/>
    <w:rPr>
      <w:rFonts w:ascii="Arial" w:eastAsia="Arial" w:hAnsi="Arial" w:cs="Arial"/>
      <w:b w:val="0"/>
      <w:bCs w:val="0"/>
      <w:i w:val="0"/>
      <w:iCs w:val="0"/>
      <w:smallCaps w:val="0"/>
      <w:strike w:val="0"/>
      <w:sz w:val="8"/>
      <w:szCs w:val="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customStyle="1" w:styleId="Vnbnnidung30">
    <w:name w:val="Văn bản nội dung (3)"/>
    <w:basedOn w:val="Normal"/>
    <w:link w:val="Vnbnnidung3"/>
    <w:rPr>
      <w:rFonts w:ascii="Arial" w:eastAsia="Arial" w:hAnsi="Arial" w:cs="Arial"/>
      <w:b/>
      <w:bCs/>
      <w:color w:val="AE404E"/>
      <w:sz w:val="20"/>
      <w:szCs w:val="20"/>
    </w:rPr>
  </w:style>
  <w:style w:type="paragraph" w:customStyle="1" w:styleId="Khc0">
    <w:name w:val="Khác"/>
    <w:basedOn w:val="Normal"/>
    <w:link w:val="Khc"/>
    <w:pPr>
      <w:spacing w:line="257" w:lineRule="auto"/>
      <w:ind w:firstLine="400"/>
    </w:pPr>
    <w:rPr>
      <w:rFonts w:ascii="Times New Roman" w:eastAsia="Times New Roman" w:hAnsi="Times New Roman" w:cs="Times New Roman"/>
      <w:sz w:val="28"/>
      <w:szCs w:val="28"/>
    </w:rPr>
  </w:style>
  <w:style w:type="paragraph" w:customStyle="1" w:styleId="Mclc0">
    <w:name w:val="Mục lục"/>
    <w:basedOn w:val="Normal"/>
    <w:link w:val="Mclc"/>
    <w:pPr>
      <w:spacing w:line="187" w:lineRule="auto"/>
    </w:pPr>
    <w:rPr>
      <w:rFonts w:ascii="Arial" w:eastAsia="Arial" w:hAnsi="Arial" w:cs="Arial"/>
      <w:sz w:val="8"/>
      <w:szCs w:val="8"/>
    </w:rPr>
  </w:style>
  <w:style w:type="paragraph" w:customStyle="1" w:styleId="Vnbnnidung0">
    <w:name w:val="Văn bản nội dung"/>
    <w:basedOn w:val="Normal"/>
    <w:link w:val="Vnbnnidung"/>
    <w:pPr>
      <w:spacing w:line="257" w:lineRule="auto"/>
      <w:ind w:firstLine="400"/>
    </w:pPr>
    <w:rPr>
      <w:rFonts w:ascii="Times New Roman" w:eastAsia="Times New Roman" w:hAnsi="Times New Roman" w:cs="Times New Roman"/>
      <w:sz w:val="28"/>
      <w:szCs w:val="28"/>
    </w:rPr>
  </w:style>
  <w:style w:type="paragraph" w:customStyle="1" w:styleId="Vnbnnidung20">
    <w:name w:val="Văn bản nội dung (2)"/>
    <w:basedOn w:val="Normal"/>
    <w:link w:val="Vnbnnidung2"/>
    <w:rPr>
      <w:rFonts w:ascii="Times New Roman" w:eastAsia="Times New Roman" w:hAnsi="Times New Roman" w:cs="Times New Roman"/>
      <w:sz w:val="19"/>
      <w:szCs w:val="19"/>
    </w:rPr>
  </w:style>
  <w:style w:type="paragraph" w:styleId="ListParagraph">
    <w:name w:val="List Paragraph"/>
    <w:basedOn w:val="Normal"/>
    <w:uiPriority w:val="34"/>
    <w:qFormat/>
    <w:rsid w:val="00502FC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AE404E"/>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Mclc">
    <w:name w:val="Mục lục_"/>
    <w:basedOn w:val="DefaultParagraphFont"/>
    <w:link w:val="Mclc0"/>
    <w:rPr>
      <w:rFonts w:ascii="Arial" w:eastAsia="Arial" w:hAnsi="Arial" w:cs="Arial"/>
      <w:b w:val="0"/>
      <w:bCs w:val="0"/>
      <w:i w:val="0"/>
      <w:iCs w:val="0"/>
      <w:smallCaps w:val="0"/>
      <w:strike w:val="0"/>
      <w:sz w:val="8"/>
      <w:szCs w:val="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customStyle="1" w:styleId="Vnbnnidung30">
    <w:name w:val="Văn bản nội dung (3)"/>
    <w:basedOn w:val="Normal"/>
    <w:link w:val="Vnbnnidung3"/>
    <w:rPr>
      <w:rFonts w:ascii="Arial" w:eastAsia="Arial" w:hAnsi="Arial" w:cs="Arial"/>
      <w:b/>
      <w:bCs/>
      <w:color w:val="AE404E"/>
      <w:sz w:val="20"/>
      <w:szCs w:val="20"/>
    </w:rPr>
  </w:style>
  <w:style w:type="paragraph" w:customStyle="1" w:styleId="Khc0">
    <w:name w:val="Khác"/>
    <w:basedOn w:val="Normal"/>
    <w:link w:val="Khc"/>
    <w:pPr>
      <w:spacing w:line="257" w:lineRule="auto"/>
      <w:ind w:firstLine="400"/>
    </w:pPr>
    <w:rPr>
      <w:rFonts w:ascii="Times New Roman" w:eastAsia="Times New Roman" w:hAnsi="Times New Roman" w:cs="Times New Roman"/>
      <w:sz w:val="28"/>
      <w:szCs w:val="28"/>
    </w:rPr>
  </w:style>
  <w:style w:type="paragraph" w:customStyle="1" w:styleId="Mclc0">
    <w:name w:val="Mục lục"/>
    <w:basedOn w:val="Normal"/>
    <w:link w:val="Mclc"/>
    <w:pPr>
      <w:spacing w:line="187" w:lineRule="auto"/>
    </w:pPr>
    <w:rPr>
      <w:rFonts w:ascii="Arial" w:eastAsia="Arial" w:hAnsi="Arial" w:cs="Arial"/>
      <w:sz w:val="8"/>
      <w:szCs w:val="8"/>
    </w:rPr>
  </w:style>
  <w:style w:type="paragraph" w:customStyle="1" w:styleId="Vnbnnidung0">
    <w:name w:val="Văn bản nội dung"/>
    <w:basedOn w:val="Normal"/>
    <w:link w:val="Vnbnnidung"/>
    <w:pPr>
      <w:spacing w:line="257" w:lineRule="auto"/>
      <w:ind w:firstLine="400"/>
    </w:pPr>
    <w:rPr>
      <w:rFonts w:ascii="Times New Roman" w:eastAsia="Times New Roman" w:hAnsi="Times New Roman" w:cs="Times New Roman"/>
      <w:sz w:val="28"/>
      <w:szCs w:val="28"/>
    </w:rPr>
  </w:style>
  <w:style w:type="paragraph" w:customStyle="1" w:styleId="Vnbnnidung20">
    <w:name w:val="Văn bản nội dung (2)"/>
    <w:basedOn w:val="Normal"/>
    <w:link w:val="Vnbnnidung2"/>
    <w:rPr>
      <w:rFonts w:ascii="Times New Roman" w:eastAsia="Times New Roman" w:hAnsi="Times New Roman" w:cs="Times New Roman"/>
      <w:sz w:val="19"/>
      <w:szCs w:val="19"/>
    </w:rPr>
  </w:style>
  <w:style w:type="paragraph" w:styleId="ListParagraph">
    <w:name w:val="List Paragraph"/>
    <w:basedOn w:val="Normal"/>
    <w:uiPriority w:val="34"/>
    <w:qFormat/>
    <w:rsid w:val="00502FC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hknhrR36QfsMUBCs1Xl7kFIbFA==">CgMxLjA4AHIhMTE2RUFWRGUweFJEVHpQSkFNQUZwRF9RbEo2Sk50a1Zl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765</Words>
  <Characters>4085</Characters>
  <Application>Microsoft Office Word</Application>
  <DocSecurity>0</DocSecurity>
  <Lines>34</Lines>
  <Paragraphs>9</Paragraphs>
  <ScaleCrop>false</ScaleCrop>
  <Company>Microsoft</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2024-05-07T04:11:00Z</dcterms:created>
  <dcterms:modified xsi:type="dcterms:W3CDTF">2024-05-08T04:00:00Z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a36a9a5ebf2f0735176f7462ef47f27280a9b7bbe80c0a90759e57f1b5abcd83</vt:lpwstr>
  </property>
</Properties>
</file>