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AA42B8" w:rsidRPr="00654DA5" w:rsidRDefault="00E06CB1" w:rsidP="002E051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654DA5">
        <w:rPr>
          <w:rFonts w:ascii="Arial" w:hAnsi="Arial" w:cs="Arial"/>
          <w:b/>
          <w:color w:val="010000"/>
          <w:sz w:val="20"/>
        </w:rPr>
        <w:t>SGB: Report on results of the share issuance to pay dividends</w:t>
      </w:r>
    </w:p>
    <w:p w14:paraId="00000002" w14:textId="067A6964" w:rsidR="00AA42B8" w:rsidRPr="00654DA5" w:rsidRDefault="00E06CB1" w:rsidP="002E051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54DA5">
        <w:rPr>
          <w:rFonts w:ascii="Arial" w:hAnsi="Arial" w:cs="Arial"/>
          <w:color w:val="010000"/>
          <w:sz w:val="20"/>
        </w:rPr>
        <w:t xml:space="preserve">On May 7, 2024, </w:t>
      </w:r>
      <w:proofErr w:type="spellStart"/>
      <w:r w:rsidRPr="00654DA5">
        <w:rPr>
          <w:rFonts w:ascii="Arial" w:hAnsi="Arial" w:cs="Arial"/>
          <w:color w:val="010000"/>
          <w:sz w:val="20"/>
        </w:rPr>
        <w:t>Sai</w:t>
      </w:r>
      <w:proofErr w:type="spellEnd"/>
      <w:r w:rsidRPr="00654DA5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654DA5">
        <w:rPr>
          <w:rFonts w:ascii="Arial" w:hAnsi="Arial" w:cs="Arial"/>
          <w:color w:val="010000"/>
          <w:sz w:val="20"/>
        </w:rPr>
        <w:t>Gon</w:t>
      </w:r>
      <w:proofErr w:type="spellEnd"/>
      <w:r w:rsidRPr="00654DA5">
        <w:rPr>
          <w:rFonts w:ascii="Arial" w:hAnsi="Arial" w:cs="Arial"/>
          <w:color w:val="010000"/>
          <w:sz w:val="20"/>
        </w:rPr>
        <w:t xml:space="preserve"> Bank for Industry and Trade announced Report No. 1916/SGB-HDQT-BC on results of the share issuance to pay dividends as follows:</w:t>
      </w:r>
    </w:p>
    <w:p w14:paraId="00000003" w14:textId="77777777" w:rsidR="00AA42B8" w:rsidRPr="00654DA5" w:rsidRDefault="00E06CB1" w:rsidP="002E05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15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54DA5">
        <w:rPr>
          <w:rFonts w:ascii="Arial" w:hAnsi="Arial" w:cs="Arial"/>
          <w:color w:val="010000"/>
          <w:sz w:val="20"/>
        </w:rPr>
        <w:t>The plan on share issuance</w:t>
      </w:r>
    </w:p>
    <w:p w14:paraId="00000004" w14:textId="77777777" w:rsidR="00AA42B8" w:rsidRPr="00654DA5" w:rsidRDefault="00E06CB1" w:rsidP="002E05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1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54DA5">
        <w:rPr>
          <w:rFonts w:ascii="Arial" w:hAnsi="Arial" w:cs="Arial"/>
          <w:color w:val="010000"/>
          <w:sz w:val="20"/>
        </w:rPr>
        <w:t xml:space="preserve">Share name: SAIGONBANK shares </w:t>
      </w:r>
    </w:p>
    <w:p w14:paraId="00000005" w14:textId="77777777" w:rsidR="00AA42B8" w:rsidRPr="00654DA5" w:rsidRDefault="00E06CB1" w:rsidP="002E05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54DA5">
        <w:rPr>
          <w:rFonts w:ascii="Arial" w:hAnsi="Arial" w:cs="Arial"/>
          <w:color w:val="010000"/>
          <w:sz w:val="20"/>
        </w:rPr>
        <w:t>Share type: Common share</w:t>
      </w:r>
    </w:p>
    <w:p w14:paraId="00000006" w14:textId="77777777" w:rsidR="00AA42B8" w:rsidRPr="00654DA5" w:rsidRDefault="00E06CB1" w:rsidP="002E05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54DA5">
        <w:rPr>
          <w:rFonts w:ascii="Arial" w:hAnsi="Arial" w:cs="Arial"/>
          <w:color w:val="010000"/>
          <w:sz w:val="20"/>
        </w:rPr>
        <w:t>Number of shares before issuance:</w:t>
      </w:r>
    </w:p>
    <w:p w14:paraId="00000007" w14:textId="77777777" w:rsidR="00AA42B8" w:rsidRPr="00654DA5" w:rsidRDefault="00E06CB1" w:rsidP="002E051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32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54DA5">
        <w:rPr>
          <w:rFonts w:ascii="Arial" w:hAnsi="Arial" w:cs="Arial"/>
          <w:color w:val="010000"/>
          <w:sz w:val="20"/>
        </w:rPr>
        <w:t>Total number of issued shares: 308,000,000 shares.</w:t>
      </w:r>
    </w:p>
    <w:p w14:paraId="00000008" w14:textId="77777777" w:rsidR="00AA42B8" w:rsidRPr="00654DA5" w:rsidRDefault="00E06CB1" w:rsidP="002E051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32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54DA5">
        <w:rPr>
          <w:rFonts w:ascii="Arial" w:hAnsi="Arial" w:cs="Arial"/>
          <w:color w:val="010000"/>
          <w:sz w:val="20"/>
        </w:rPr>
        <w:t>Number of outstanding shares: 308,000,000 shares.</w:t>
      </w:r>
    </w:p>
    <w:p w14:paraId="00000009" w14:textId="77777777" w:rsidR="00AA42B8" w:rsidRPr="00654DA5" w:rsidRDefault="00E06CB1" w:rsidP="002E051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3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54DA5">
        <w:rPr>
          <w:rFonts w:ascii="Arial" w:hAnsi="Arial" w:cs="Arial"/>
          <w:color w:val="010000"/>
          <w:sz w:val="20"/>
        </w:rPr>
        <w:t>Number of treasury shares: 0 shares.</w:t>
      </w:r>
    </w:p>
    <w:p w14:paraId="0000000A" w14:textId="77777777" w:rsidR="00AA42B8" w:rsidRPr="00654DA5" w:rsidRDefault="00E06CB1" w:rsidP="002E05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54DA5">
        <w:rPr>
          <w:rFonts w:ascii="Arial" w:hAnsi="Arial" w:cs="Arial"/>
          <w:color w:val="010000"/>
          <w:sz w:val="20"/>
        </w:rPr>
        <w:t>Number of shares expected to be issued: 30,800,000 shares.</w:t>
      </w:r>
    </w:p>
    <w:p w14:paraId="0000000B" w14:textId="77777777" w:rsidR="00AA42B8" w:rsidRPr="00654DA5" w:rsidRDefault="00E06CB1" w:rsidP="002E05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6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54DA5">
        <w:rPr>
          <w:rFonts w:ascii="Arial" w:hAnsi="Arial" w:cs="Arial"/>
          <w:color w:val="010000"/>
          <w:sz w:val="20"/>
        </w:rPr>
        <w:t>Rights exercise rate: 10%. Accordingly, shareholders currently on the list of owners of common shares at the time of recording the list of shareholders who own 100 shares will receive 10 new shares.</w:t>
      </w:r>
    </w:p>
    <w:p w14:paraId="0000000C" w14:textId="77777777" w:rsidR="00AA42B8" w:rsidRPr="00654DA5" w:rsidRDefault="00E06CB1" w:rsidP="002E05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5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54DA5">
        <w:rPr>
          <w:rFonts w:ascii="Arial" w:hAnsi="Arial" w:cs="Arial"/>
          <w:color w:val="010000"/>
          <w:sz w:val="20"/>
        </w:rPr>
        <w:t>Capital source for the issuance: Remaining accumulated profit after tax over the years (from 2016 and earlier years, from 2017 to 2021) and profit after tax</w:t>
      </w:r>
      <w:bookmarkStart w:id="0" w:name="_GoBack"/>
      <w:bookmarkEnd w:id="0"/>
      <w:r w:rsidRPr="00654DA5">
        <w:rPr>
          <w:rFonts w:ascii="Arial" w:hAnsi="Arial" w:cs="Arial"/>
          <w:color w:val="010000"/>
          <w:sz w:val="20"/>
        </w:rPr>
        <w:t xml:space="preserve"> in 2022 after appropriation for funds.</w:t>
      </w:r>
    </w:p>
    <w:p w14:paraId="0000000D" w14:textId="77777777" w:rsidR="00AA42B8" w:rsidRPr="00654DA5" w:rsidRDefault="00E06CB1" w:rsidP="002E05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5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54DA5">
        <w:rPr>
          <w:rFonts w:ascii="Arial" w:hAnsi="Arial" w:cs="Arial"/>
          <w:color w:val="010000"/>
          <w:sz w:val="20"/>
        </w:rPr>
        <w:t>Plan on handling fractional shares and fraction of shares: Additional shares issued to existing shareholders are rounded down to the unit, the decimals will be canceled.</w:t>
      </w:r>
    </w:p>
    <w:p w14:paraId="0000000E" w14:textId="5CE133FD" w:rsidR="00AA42B8" w:rsidRPr="00654DA5" w:rsidRDefault="00E06CB1" w:rsidP="002E051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54DA5">
        <w:rPr>
          <w:rFonts w:ascii="Arial" w:hAnsi="Arial" w:cs="Arial"/>
          <w:color w:val="010000"/>
          <w:sz w:val="20"/>
        </w:rPr>
        <w:t xml:space="preserve">For example: At the time of recording the list of shareholders, shareholders who own 115 shares will receive 11.5 </w:t>
      </w:r>
      <w:r w:rsidR="00BB5CC4" w:rsidRPr="00654DA5">
        <w:rPr>
          <w:rFonts w:ascii="Arial" w:hAnsi="Arial" w:cs="Arial"/>
          <w:color w:val="010000"/>
          <w:sz w:val="20"/>
        </w:rPr>
        <w:t>shares</w:t>
      </w:r>
      <w:r w:rsidRPr="00654DA5">
        <w:rPr>
          <w:rFonts w:ascii="Arial" w:hAnsi="Arial" w:cs="Arial"/>
          <w:color w:val="010000"/>
          <w:sz w:val="20"/>
        </w:rPr>
        <w:t xml:space="preserve"> rounded down to 11 shares.</w:t>
      </w:r>
    </w:p>
    <w:p w14:paraId="0000000F" w14:textId="77777777" w:rsidR="00AA42B8" w:rsidRPr="00654DA5" w:rsidRDefault="00E06CB1" w:rsidP="002E05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54DA5">
        <w:rPr>
          <w:rFonts w:ascii="Arial" w:hAnsi="Arial" w:cs="Arial"/>
          <w:color w:val="010000"/>
          <w:sz w:val="20"/>
        </w:rPr>
        <w:t>End date of the issuance: April 25, 2024</w:t>
      </w:r>
    </w:p>
    <w:p w14:paraId="00000010" w14:textId="77777777" w:rsidR="00AA42B8" w:rsidRPr="00654DA5" w:rsidRDefault="00E06CB1" w:rsidP="002E05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54DA5">
        <w:rPr>
          <w:rFonts w:ascii="Arial" w:hAnsi="Arial" w:cs="Arial"/>
          <w:color w:val="010000"/>
          <w:sz w:val="20"/>
        </w:rPr>
        <w:t>Expected date to transfer shares: In June 2024</w:t>
      </w:r>
    </w:p>
    <w:p w14:paraId="00000011" w14:textId="77777777" w:rsidR="00AA42B8" w:rsidRPr="00654DA5" w:rsidRDefault="00E06CB1" w:rsidP="002E05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77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54DA5">
        <w:rPr>
          <w:rFonts w:ascii="Arial" w:hAnsi="Arial" w:cs="Arial"/>
          <w:color w:val="010000"/>
          <w:sz w:val="20"/>
        </w:rPr>
        <w:t>Results of share issuance:</w:t>
      </w:r>
    </w:p>
    <w:p w14:paraId="00000012" w14:textId="77777777" w:rsidR="00AA42B8" w:rsidRPr="00654DA5" w:rsidRDefault="00E06CB1" w:rsidP="002E051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54DA5">
        <w:rPr>
          <w:rFonts w:ascii="Arial" w:hAnsi="Arial" w:cs="Arial"/>
          <w:color w:val="010000"/>
          <w:sz w:val="20"/>
        </w:rPr>
        <w:t>1 Total number of shares distributed: 30,799,141 shares, of which:</w:t>
      </w:r>
    </w:p>
    <w:p w14:paraId="00000013" w14:textId="77777777" w:rsidR="00AA42B8" w:rsidRPr="00654DA5" w:rsidRDefault="00E06CB1" w:rsidP="002E051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8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54DA5">
        <w:rPr>
          <w:rFonts w:ascii="Arial" w:hAnsi="Arial" w:cs="Arial"/>
          <w:color w:val="010000"/>
          <w:sz w:val="20"/>
        </w:rPr>
        <w:t>Number of shares distributed to shareholders according to the rate: 30,799,141 shares for 2,920 shareholders;</w:t>
      </w:r>
    </w:p>
    <w:p w14:paraId="00000014" w14:textId="40F4C3AB" w:rsidR="00AA42B8" w:rsidRPr="00654DA5" w:rsidRDefault="00E06CB1" w:rsidP="002E051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9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54DA5">
        <w:rPr>
          <w:rFonts w:ascii="Arial" w:hAnsi="Arial" w:cs="Arial"/>
          <w:color w:val="010000"/>
          <w:sz w:val="20"/>
        </w:rPr>
        <w:t xml:space="preserve">Number of fractional shares handled: 859 shares (these shares will be </w:t>
      </w:r>
      <w:r w:rsidR="00BB5CC4" w:rsidRPr="00654DA5">
        <w:rPr>
          <w:rFonts w:ascii="Arial" w:hAnsi="Arial" w:cs="Arial"/>
          <w:color w:val="010000"/>
          <w:sz w:val="20"/>
        </w:rPr>
        <w:t>canceled</w:t>
      </w:r>
      <w:r w:rsidRPr="00654DA5">
        <w:rPr>
          <w:rFonts w:ascii="Arial" w:hAnsi="Arial" w:cs="Arial"/>
          <w:color w:val="010000"/>
          <w:sz w:val="20"/>
        </w:rPr>
        <w:t>)</w:t>
      </w:r>
    </w:p>
    <w:p w14:paraId="00000015" w14:textId="453A946F" w:rsidR="00AA42B8" w:rsidRPr="00654DA5" w:rsidRDefault="00E06CB1" w:rsidP="002E05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60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54DA5">
        <w:rPr>
          <w:rFonts w:ascii="Arial" w:hAnsi="Arial" w:cs="Arial"/>
          <w:color w:val="010000"/>
          <w:sz w:val="20"/>
        </w:rPr>
        <w:t xml:space="preserve">Total number of </w:t>
      </w:r>
      <w:r w:rsidR="00BB5CC4" w:rsidRPr="00654DA5">
        <w:rPr>
          <w:rFonts w:ascii="Arial" w:hAnsi="Arial" w:cs="Arial"/>
          <w:color w:val="010000"/>
          <w:sz w:val="20"/>
        </w:rPr>
        <w:t>shares</w:t>
      </w:r>
      <w:r w:rsidRPr="00654DA5">
        <w:rPr>
          <w:rFonts w:ascii="Arial" w:hAnsi="Arial" w:cs="Arial"/>
          <w:color w:val="010000"/>
          <w:sz w:val="20"/>
        </w:rPr>
        <w:t xml:space="preserve"> after the issuance (on April 25, 2024): 338,799,141 shares, of which:</w:t>
      </w:r>
    </w:p>
    <w:p w14:paraId="00000016" w14:textId="77777777" w:rsidR="00AA42B8" w:rsidRPr="00654DA5" w:rsidRDefault="00E06CB1" w:rsidP="002E051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54DA5">
        <w:rPr>
          <w:rFonts w:ascii="Arial" w:hAnsi="Arial" w:cs="Arial"/>
          <w:color w:val="010000"/>
          <w:sz w:val="20"/>
        </w:rPr>
        <w:t>Number of outstanding shares: 338,799,141 shares;</w:t>
      </w:r>
    </w:p>
    <w:p w14:paraId="00000017" w14:textId="77777777" w:rsidR="00AA42B8" w:rsidRPr="00654DA5" w:rsidRDefault="00E06CB1" w:rsidP="002E051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54DA5">
        <w:rPr>
          <w:rFonts w:ascii="Arial" w:hAnsi="Arial" w:cs="Arial"/>
          <w:color w:val="010000"/>
          <w:sz w:val="20"/>
        </w:rPr>
        <w:t>Number of treasury shares: 0 shares.</w:t>
      </w:r>
    </w:p>
    <w:sectPr w:rsidR="00AA42B8" w:rsidRPr="00654DA5" w:rsidSect="00976FD7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B3EB7"/>
    <w:multiLevelType w:val="multilevel"/>
    <w:tmpl w:val="2DC2B19A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3CA5C61"/>
    <w:multiLevelType w:val="multilevel"/>
    <w:tmpl w:val="52BC48E4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8565BE1"/>
    <w:multiLevelType w:val="multilevel"/>
    <w:tmpl w:val="4774991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6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E0C3E8E"/>
    <w:multiLevelType w:val="multilevel"/>
    <w:tmpl w:val="47FCEC8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2B8"/>
    <w:rsid w:val="002E051E"/>
    <w:rsid w:val="00654DA5"/>
    <w:rsid w:val="00976FD7"/>
    <w:rsid w:val="00AA42B8"/>
    <w:rsid w:val="00BB5CC4"/>
    <w:rsid w:val="00E0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5596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color w:val="AF4E5A"/>
      <w:sz w:val="16"/>
      <w:szCs w:val="16"/>
      <w:u w:val="single"/>
      <w:shd w:val="clear" w:color="auto" w:fill="auto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</w:rPr>
  </w:style>
  <w:style w:type="paragraph" w:customStyle="1" w:styleId="Bodytext20">
    <w:name w:val="Body text (2)"/>
    <w:basedOn w:val="Normal"/>
    <w:link w:val="Bodytext2"/>
    <w:pPr>
      <w:spacing w:line="163" w:lineRule="auto"/>
    </w:pPr>
    <w:rPr>
      <w:rFonts w:ascii="Arial" w:eastAsia="Arial" w:hAnsi="Arial" w:cs="Arial"/>
      <w:sz w:val="8"/>
      <w:szCs w:val="8"/>
    </w:rPr>
  </w:style>
  <w:style w:type="paragraph" w:customStyle="1" w:styleId="Bodytext30">
    <w:name w:val="Body text (3)"/>
    <w:basedOn w:val="Normal"/>
    <w:link w:val="Bodytext3"/>
    <w:pPr>
      <w:spacing w:line="254" w:lineRule="auto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BodyText">
    <w:name w:val="Body Text"/>
    <w:basedOn w:val="Normal"/>
    <w:link w:val="BodyTextChar"/>
    <w:qFormat/>
    <w:pPr>
      <w:spacing w:line="377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50">
    <w:name w:val="Body text (5)"/>
    <w:basedOn w:val="Normal"/>
    <w:link w:val="Bodytext5"/>
    <w:pPr>
      <w:jc w:val="right"/>
    </w:pPr>
    <w:rPr>
      <w:rFonts w:ascii="Arial" w:eastAsia="Arial" w:hAnsi="Arial" w:cs="Arial"/>
      <w:color w:val="AF4E5A"/>
      <w:sz w:val="16"/>
      <w:szCs w:val="16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color w:val="AF4E5A"/>
      <w:sz w:val="16"/>
      <w:szCs w:val="16"/>
      <w:u w:val="single"/>
      <w:shd w:val="clear" w:color="auto" w:fill="auto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</w:rPr>
  </w:style>
  <w:style w:type="paragraph" w:customStyle="1" w:styleId="Bodytext20">
    <w:name w:val="Body text (2)"/>
    <w:basedOn w:val="Normal"/>
    <w:link w:val="Bodytext2"/>
    <w:pPr>
      <w:spacing w:line="163" w:lineRule="auto"/>
    </w:pPr>
    <w:rPr>
      <w:rFonts w:ascii="Arial" w:eastAsia="Arial" w:hAnsi="Arial" w:cs="Arial"/>
      <w:sz w:val="8"/>
      <w:szCs w:val="8"/>
    </w:rPr>
  </w:style>
  <w:style w:type="paragraph" w:customStyle="1" w:styleId="Bodytext30">
    <w:name w:val="Body text (3)"/>
    <w:basedOn w:val="Normal"/>
    <w:link w:val="Bodytext3"/>
    <w:pPr>
      <w:spacing w:line="254" w:lineRule="auto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BodyText">
    <w:name w:val="Body Text"/>
    <w:basedOn w:val="Normal"/>
    <w:link w:val="BodyTextChar"/>
    <w:qFormat/>
    <w:pPr>
      <w:spacing w:line="377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50">
    <w:name w:val="Body text (5)"/>
    <w:basedOn w:val="Normal"/>
    <w:link w:val="Bodytext5"/>
    <w:pPr>
      <w:jc w:val="right"/>
    </w:pPr>
    <w:rPr>
      <w:rFonts w:ascii="Arial" w:eastAsia="Arial" w:hAnsi="Arial" w:cs="Arial"/>
      <w:color w:val="AF4E5A"/>
      <w:sz w:val="16"/>
      <w:szCs w:val="16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ODtB0crxIMTzKZmNiyEkXgtaUg==">CgMxLjA4AHIhMXpUVWNDM1Y1MV9NNWU4V0pjaTNzZ2Z0NWdUemNhMnVO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6</cp:revision>
  <dcterms:created xsi:type="dcterms:W3CDTF">2024-05-08T06:48:00Z</dcterms:created>
  <dcterms:modified xsi:type="dcterms:W3CDTF">2024-05-09T07:03:00Z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f4ee22bf3a35b98da602b81c70e69d93051e2d65ceb641230199cad7e2be047e</vt:lpwstr>
  </property>
</Properties>
</file>