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0B0F"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bCs/>
          <w:sz w:val="20"/>
        </w:rPr>
        <w:t>SP2:</w:t>
      </w:r>
      <w:r>
        <w:rPr>
          <w:rFonts w:ascii="Arial" w:hAnsi="Arial"/>
          <w:b/>
          <w:sz w:val="20"/>
        </w:rPr>
        <w:t xml:space="preserve"> Annual General Mandate 2024</w:t>
      </w:r>
    </w:p>
    <w:p w14:paraId="64FD3176"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27, 2024, Su Pan 2 Hydropower Joint Stock Company announced General Mandate No. 01/NQ-DHDCD as follows: </w:t>
      </w:r>
    </w:p>
    <w:p w14:paraId="605F7519"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The Annual General Meeting of Shareholders 2024 of Su Pan 2 Hydropower Joint Stock Company approves the following contents:</w:t>
      </w:r>
    </w:p>
    <w:p w14:paraId="491C3C3D"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Report of the Board of Directors and the Board of Management of the Company on the implementation of tasks, production and business plans in 2023 and tasks, production and business plans in 2024 as follows:</w:t>
      </w:r>
    </w:p>
    <w:p w14:paraId="5B3FC92C" w14:textId="77777777" w:rsidR="000E27CD" w:rsidRDefault="00D501F1" w:rsidP="003432B5">
      <w:pPr>
        <w:numPr>
          <w:ilvl w:val="1"/>
          <w:numId w:val="3"/>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a. Implementation of production and business in 2023:</w:t>
      </w:r>
    </w:p>
    <w:tbl>
      <w:tblPr>
        <w:tblStyle w:val="a"/>
        <w:tblW w:w="9016" w:type="dxa"/>
        <w:tblLayout w:type="fixed"/>
        <w:tblLook w:val="0400" w:firstRow="0" w:lastRow="0" w:firstColumn="0" w:lastColumn="0" w:noHBand="0" w:noVBand="1"/>
      </w:tblPr>
      <w:tblGrid>
        <w:gridCol w:w="584"/>
        <w:gridCol w:w="2887"/>
        <w:gridCol w:w="1235"/>
        <w:gridCol w:w="1378"/>
        <w:gridCol w:w="1672"/>
        <w:gridCol w:w="1260"/>
      </w:tblGrid>
      <w:tr w:rsidR="000E27CD" w14:paraId="5F5D1708" w14:textId="77777777">
        <w:trPr>
          <w:trHeight w:val="411"/>
        </w:trPr>
        <w:tc>
          <w:tcPr>
            <w:tcW w:w="584" w:type="dxa"/>
            <w:vMerge w:val="restart"/>
            <w:tcBorders>
              <w:top w:val="single" w:sz="4" w:space="0" w:color="000000"/>
              <w:left w:val="single" w:sz="4" w:space="0" w:color="000000"/>
            </w:tcBorders>
            <w:shd w:val="clear" w:color="auto" w:fill="FFFFFF"/>
            <w:tcMar>
              <w:top w:w="0" w:type="dxa"/>
              <w:bottom w:w="0" w:type="dxa"/>
            </w:tcMar>
            <w:vAlign w:val="center"/>
          </w:tcPr>
          <w:p w14:paraId="39159518"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887" w:type="dxa"/>
            <w:vMerge w:val="restart"/>
            <w:tcBorders>
              <w:top w:val="single" w:sz="4" w:space="0" w:color="000000"/>
              <w:left w:val="single" w:sz="4" w:space="0" w:color="000000"/>
            </w:tcBorders>
            <w:shd w:val="clear" w:color="auto" w:fill="FFFFFF"/>
            <w:tcMar>
              <w:top w:w="0" w:type="dxa"/>
              <w:bottom w:w="0" w:type="dxa"/>
            </w:tcMar>
            <w:vAlign w:val="center"/>
          </w:tcPr>
          <w:p w14:paraId="0C059A14"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1235" w:type="dxa"/>
            <w:vMerge w:val="restart"/>
            <w:tcBorders>
              <w:top w:val="single" w:sz="4" w:space="0" w:color="000000"/>
              <w:left w:val="single" w:sz="4" w:space="0" w:color="000000"/>
            </w:tcBorders>
            <w:shd w:val="clear" w:color="auto" w:fill="FFFFFF"/>
            <w:tcMar>
              <w:top w:w="0" w:type="dxa"/>
              <w:bottom w:w="0" w:type="dxa"/>
            </w:tcMar>
            <w:vAlign w:val="center"/>
          </w:tcPr>
          <w:p w14:paraId="4DF4BB5F"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4310" w:type="dxa"/>
            <w:gridSpan w:val="3"/>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0C4F7A4"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Results 2023 </w:t>
            </w:r>
          </w:p>
        </w:tc>
      </w:tr>
      <w:tr w:rsidR="000E27CD" w14:paraId="3E58CD06" w14:textId="77777777">
        <w:trPr>
          <w:trHeight w:val="394"/>
        </w:trPr>
        <w:tc>
          <w:tcPr>
            <w:tcW w:w="584" w:type="dxa"/>
            <w:vMerge/>
            <w:tcBorders>
              <w:top w:val="single" w:sz="4" w:space="0" w:color="000000"/>
              <w:left w:val="single" w:sz="4" w:space="0" w:color="000000"/>
            </w:tcBorders>
            <w:shd w:val="clear" w:color="auto" w:fill="FFFFFF"/>
            <w:tcMar>
              <w:top w:w="0" w:type="dxa"/>
              <w:bottom w:w="0" w:type="dxa"/>
            </w:tcMar>
            <w:vAlign w:val="center"/>
          </w:tcPr>
          <w:p w14:paraId="1149808D" w14:textId="77777777" w:rsidR="000E27CD" w:rsidRDefault="000E27CD">
            <w:pPr>
              <w:pBdr>
                <w:top w:val="nil"/>
                <w:left w:val="nil"/>
                <w:bottom w:val="nil"/>
                <w:right w:val="nil"/>
                <w:between w:val="nil"/>
              </w:pBdr>
              <w:spacing w:line="276" w:lineRule="auto"/>
              <w:rPr>
                <w:rFonts w:ascii="Arial" w:eastAsia="Arial" w:hAnsi="Arial" w:cs="Arial"/>
                <w:sz w:val="20"/>
                <w:szCs w:val="20"/>
              </w:rPr>
            </w:pPr>
          </w:p>
        </w:tc>
        <w:tc>
          <w:tcPr>
            <w:tcW w:w="2887" w:type="dxa"/>
            <w:vMerge/>
            <w:tcBorders>
              <w:top w:val="single" w:sz="4" w:space="0" w:color="000000"/>
              <w:left w:val="single" w:sz="4" w:space="0" w:color="000000"/>
            </w:tcBorders>
            <w:shd w:val="clear" w:color="auto" w:fill="FFFFFF"/>
            <w:tcMar>
              <w:top w:w="0" w:type="dxa"/>
              <w:bottom w:w="0" w:type="dxa"/>
            </w:tcMar>
            <w:vAlign w:val="center"/>
          </w:tcPr>
          <w:p w14:paraId="4BD55140" w14:textId="77777777" w:rsidR="000E27CD" w:rsidRDefault="000E27CD">
            <w:pPr>
              <w:pBdr>
                <w:top w:val="nil"/>
                <w:left w:val="nil"/>
                <w:bottom w:val="nil"/>
                <w:right w:val="nil"/>
                <w:between w:val="nil"/>
              </w:pBdr>
              <w:spacing w:line="276" w:lineRule="auto"/>
              <w:rPr>
                <w:rFonts w:ascii="Arial" w:eastAsia="Arial" w:hAnsi="Arial" w:cs="Arial"/>
                <w:sz w:val="20"/>
                <w:szCs w:val="20"/>
              </w:rPr>
            </w:pPr>
          </w:p>
        </w:tc>
        <w:tc>
          <w:tcPr>
            <w:tcW w:w="1235" w:type="dxa"/>
            <w:vMerge/>
            <w:tcBorders>
              <w:top w:val="single" w:sz="4" w:space="0" w:color="000000"/>
              <w:left w:val="single" w:sz="4" w:space="0" w:color="000000"/>
            </w:tcBorders>
            <w:shd w:val="clear" w:color="auto" w:fill="FFFFFF"/>
            <w:tcMar>
              <w:top w:w="0" w:type="dxa"/>
              <w:bottom w:w="0" w:type="dxa"/>
            </w:tcMar>
            <w:vAlign w:val="center"/>
          </w:tcPr>
          <w:p w14:paraId="519AEEA6" w14:textId="77777777" w:rsidR="000E27CD" w:rsidRDefault="000E27CD">
            <w:pPr>
              <w:pBdr>
                <w:top w:val="nil"/>
                <w:left w:val="nil"/>
                <w:bottom w:val="nil"/>
                <w:right w:val="nil"/>
                <w:between w:val="nil"/>
              </w:pBdr>
              <w:spacing w:line="276" w:lineRule="auto"/>
              <w:rPr>
                <w:rFonts w:ascii="Arial" w:eastAsia="Arial" w:hAnsi="Arial" w:cs="Arial"/>
                <w:sz w:val="20"/>
                <w:szCs w:val="20"/>
              </w:rPr>
            </w:pPr>
          </w:p>
        </w:tc>
        <w:tc>
          <w:tcPr>
            <w:tcW w:w="1378" w:type="dxa"/>
            <w:tcBorders>
              <w:top w:val="single" w:sz="4" w:space="0" w:color="000000"/>
              <w:left w:val="single" w:sz="4" w:space="0" w:color="000000"/>
            </w:tcBorders>
            <w:shd w:val="clear" w:color="auto" w:fill="FFFFFF"/>
            <w:tcMar>
              <w:top w:w="0" w:type="dxa"/>
              <w:bottom w:w="0" w:type="dxa"/>
            </w:tcMar>
            <w:vAlign w:val="bottom"/>
          </w:tcPr>
          <w:p w14:paraId="3FC22D7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1672" w:type="dxa"/>
            <w:tcBorders>
              <w:top w:val="single" w:sz="4" w:space="0" w:color="000000"/>
              <w:left w:val="single" w:sz="4" w:space="0" w:color="000000"/>
            </w:tcBorders>
            <w:shd w:val="clear" w:color="auto" w:fill="FFFFFF"/>
            <w:tcMar>
              <w:top w:w="0" w:type="dxa"/>
              <w:bottom w:w="0" w:type="dxa"/>
            </w:tcMar>
            <w:vAlign w:val="bottom"/>
          </w:tcPr>
          <w:p w14:paraId="175651C6"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Results </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58BC6DC"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Completion (%)</w:t>
            </w:r>
          </w:p>
        </w:tc>
      </w:tr>
      <w:tr w:rsidR="000E27CD" w14:paraId="6D4F6379" w14:textId="77777777">
        <w:tc>
          <w:tcPr>
            <w:tcW w:w="584" w:type="dxa"/>
            <w:tcBorders>
              <w:top w:val="single" w:sz="4" w:space="0" w:color="000000"/>
              <w:left w:val="single" w:sz="4" w:space="0" w:color="000000"/>
            </w:tcBorders>
            <w:shd w:val="clear" w:color="auto" w:fill="FFFFFF"/>
            <w:tcMar>
              <w:top w:w="0" w:type="dxa"/>
              <w:bottom w:w="0" w:type="dxa"/>
            </w:tcMar>
            <w:vAlign w:val="center"/>
          </w:tcPr>
          <w:p w14:paraId="6FBE369E"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2887" w:type="dxa"/>
            <w:tcBorders>
              <w:top w:val="single" w:sz="4" w:space="0" w:color="000000"/>
              <w:left w:val="single" w:sz="4" w:space="0" w:color="000000"/>
            </w:tcBorders>
            <w:shd w:val="clear" w:color="auto" w:fill="FFFFFF"/>
            <w:tcMar>
              <w:top w:w="0" w:type="dxa"/>
              <w:bottom w:w="0" w:type="dxa"/>
            </w:tcMar>
            <w:vAlign w:val="center"/>
          </w:tcPr>
          <w:p w14:paraId="6F424AA0"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Electricity output</w:t>
            </w:r>
          </w:p>
        </w:tc>
        <w:tc>
          <w:tcPr>
            <w:tcW w:w="1235" w:type="dxa"/>
            <w:tcBorders>
              <w:top w:val="single" w:sz="4" w:space="0" w:color="000000"/>
              <w:left w:val="single" w:sz="4" w:space="0" w:color="000000"/>
            </w:tcBorders>
            <w:shd w:val="clear" w:color="auto" w:fill="FFFFFF"/>
            <w:tcMar>
              <w:top w:w="0" w:type="dxa"/>
              <w:bottom w:w="0" w:type="dxa"/>
            </w:tcMar>
          </w:tcPr>
          <w:p w14:paraId="5D35C67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kWh</w:t>
            </w:r>
          </w:p>
        </w:tc>
        <w:tc>
          <w:tcPr>
            <w:tcW w:w="1378" w:type="dxa"/>
            <w:tcBorders>
              <w:top w:val="single" w:sz="4" w:space="0" w:color="000000"/>
              <w:left w:val="single" w:sz="4" w:space="0" w:color="000000"/>
            </w:tcBorders>
            <w:shd w:val="clear" w:color="auto" w:fill="FFFFFF"/>
            <w:tcMar>
              <w:top w:w="0" w:type="dxa"/>
              <w:bottom w:w="0" w:type="dxa"/>
            </w:tcMar>
            <w:vAlign w:val="center"/>
          </w:tcPr>
          <w:p w14:paraId="730AFA06"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152.03</w:t>
            </w:r>
          </w:p>
        </w:tc>
        <w:tc>
          <w:tcPr>
            <w:tcW w:w="1672" w:type="dxa"/>
            <w:tcBorders>
              <w:top w:val="single" w:sz="4" w:space="0" w:color="000000"/>
              <w:left w:val="single" w:sz="4" w:space="0" w:color="000000"/>
            </w:tcBorders>
            <w:shd w:val="clear" w:color="auto" w:fill="FFFFFF"/>
            <w:tcMar>
              <w:top w:w="0" w:type="dxa"/>
              <w:bottom w:w="0" w:type="dxa"/>
            </w:tcMar>
            <w:vAlign w:val="center"/>
          </w:tcPr>
          <w:p w14:paraId="0726A6A1"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126.75</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0D3181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w:t>
            </w:r>
          </w:p>
        </w:tc>
      </w:tr>
      <w:tr w:rsidR="000E27CD" w14:paraId="6E03CEAA" w14:textId="77777777">
        <w:trPr>
          <w:trHeight w:val="399"/>
        </w:trPr>
        <w:tc>
          <w:tcPr>
            <w:tcW w:w="584" w:type="dxa"/>
            <w:tcBorders>
              <w:top w:val="single" w:sz="4" w:space="0" w:color="000000"/>
              <w:left w:val="single" w:sz="4" w:space="0" w:color="000000"/>
            </w:tcBorders>
            <w:shd w:val="clear" w:color="auto" w:fill="FFFFFF"/>
            <w:tcMar>
              <w:top w:w="0" w:type="dxa"/>
              <w:bottom w:w="0" w:type="dxa"/>
            </w:tcMar>
          </w:tcPr>
          <w:p w14:paraId="19A7F964"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2887" w:type="dxa"/>
            <w:tcBorders>
              <w:top w:val="single" w:sz="4" w:space="0" w:color="000000"/>
              <w:left w:val="single" w:sz="4" w:space="0" w:color="000000"/>
            </w:tcBorders>
            <w:shd w:val="clear" w:color="auto" w:fill="FFFFFF"/>
            <w:tcMar>
              <w:top w:w="0" w:type="dxa"/>
              <w:bottom w:w="0" w:type="dxa"/>
            </w:tcMar>
          </w:tcPr>
          <w:p w14:paraId="5C174279"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235" w:type="dxa"/>
            <w:tcBorders>
              <w:top w:val="single" w:sz="4" w:space="0" w:color="000000"/>
              <w:left w:val="single" w:sz="4" w:space="0" w:color="000000"/>
            </w:tcBorders>
            <w:shd w:val="clear" w:color="auto" w:fill="FFFFFF"/>
            <w:tcMar>
              <w:top w:w="0" w:type="dxa"/>
              <w:bottom w:w="0" w:type="dxa"/>
            </w:tcMar>
          </w:tcPr>
          <w:p w14:paraId="035E114C"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tcBorders>
            <w:shd w:val="clear" w:color="auto" w:fill="FFFFFF"/>
            <w:tcMar>
              <w:top w:w="0" w:type="dxa"/>
              <w:bottom w:w="0" w:type="dxa"/>
            </w:tcMar>
          </w:tcPr>
          <w:p w14:paraId="4ACA5551"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179,834</w:t>
            </w:r>
          </w:p>
        </w:tc>
        <w:tc>
          <w:tcPr>
            <w:tcW w:w="1672" w:type="dxa"/>
            <w:tcBorders>
              <w:top w:val="single" w:sz="4" w:space="0" w:color="000000"/>
              <w:left w:val="single" w:sz="4" w:space="0" w:color="000000"/>
            </w:tcBorders>
            <w:shd w:val="clear" w:color="auto" w:fill="FFFFFF"/>
            <w:tcMar>
              <w:top w:w="0" w:type="dxa"/>
              <w:bottom w:w="0" w:type="dxa"/>
            </w:tcMar>
          </w:tcPr>
          <w:p w14:paraId="4F37F3EB"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156,353</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tcPr>
          <w:p w14:paraId="30956300" w14:textId="77777777" w:rsidR="000E27CD" w:rsidRDefault="000E27CD">
            <w:pPr>
              <w:spacing w:after="120" w:line="360" w:lineRule="auto"/>
              <w:rPr>
                <w:rFonts w:ascii="Arial" w:eastAsia="Arial" w:hAnsi="Arial" w:cs="Arial"/>
                <w:sz w:val="20"/>
                <w:szCs w:val="20"/>
              </w:rPr>
            </w:pPr>
          </w:p>
        </w:tc>
      </w:tr>
      <w:tr w:rsidR="000E27CD" w14:paraId="2FD2542E" w14:textId="77777777">
        <w:trPr>
          <w:trHeight w:val="388"/>
        </w:trPr>
        <w:tc>
          <w:tcPr>
            <w:tcW w:w="584" w:type="dxa"/>
            <w:tcBorders>
              <w:top w:val="single" w:sz="4" w:space="0" w:color="000000"/>
              <w:left w:val="single" w:sz="4" w:space="0" w:color="000000"/>
            </w:tcBorders>
            <w:shd w:val="clear" w:color="auto" w:fill="FFFFFF"/>
            <w:tcMar>
              <w:top w:w="0" w:type="dxa"/>
              <w:bottom w:w="0" w:type="dxa"/>
            </w:tcMar>
            <w:vAlign w:val="center"/>
          </w:tcPr>
          <w:p w14:paraId="231C3D88"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887" w:type="dxa"/>
            <w:tcBorders>
              <w:top w:val="single" w:sz="4" w:space="0" w:color="000000"/>
              <w:left w:val="single" w:sz="4" w:space="0" w:color="000000"/>
            </w:tcBorders>
            <w:shd w:val="clear" w:color="auto" w:fill="FFFFFF"/>
            <w:tcMar>
              <w:top w:w="0" w:type="dxa"/>
              <w:bottom w:w="0" w:type="dxa"/>
            </w:tcMar>
            <w:vAlign w:val="center"/>
          </w:tcPr>
          <w:p w14:paraId="0D7141EE"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Net revenue from electricity sales</w:t>
            </w:r>
          </w:p>
        </w:tc>
        <w:tc>
          <w:tcPr>
            <w:tcW w:w="1235" w:type="dxa"/>
            <w:tcBorders>
              <w:top w:val="single" w:sz="4" w:space="0" w:color="000000"/>
              <w:left w:val="single" w:sz="4" w:space="0" w:color="000000"/>
            </w:tcBorders>
            <w:shd w:val="clear" w:color="auto" w:fill="FFFFFF"/>
            <w:tcMar>
              <w:top w:w="0" w:type="dxa"/>
              <w:bottom w:w="0" w:type="dxa"/>
            </w:tcMar>
            <w:vAlign w:val="center"/>
          </w:tcPr>
          <w:p w14:paraId="4CFB11CA"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tcBorders>
            <w:shd w:val="clear" w:color="auto" w:fill="FFFFFF"/>
            <w:tcMar>
              <w:top w:w="0" w:type="dxa"/>
              <w:bottom w:w="0" w:type="dxa"/>
            </w:tcMar>
            <w:vAlign w:val="center"/>
          </w:tcPr>
          <w:p w14:paraId="56E6536A"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153,988</w:t>
            </w:r>
          </w:p>
        </w:tc>
        <w:tc>
          <w:tcPr>
            <w:tcW w:w="1672" w:type="dxa"/>
            <w:tcBorders>
              <w:top w:val="single" w:sz="4" w:space="0" w:color="000000"/>
              <w:left w:val="single" w:sz="4" w:space="0" w:color="000000"/>
            </w:tcBorders>
            <w:shd w:val="clear" w:color="auto" w:fill="FFFFFF"/>
            <w:tcMar>
              <w:top w:w="0" w:type="dxa"/>
              <w:bottom w:w="0" w:type="dxa"/>
            </w:tcMar>
            <w:vAlign w:val="center"/>
          </w:tcPr>
          <w:p w14:paraId="5D1AEBF6"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130,907</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CDB3021"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85%</w:t>
            </w:r>
          </w:p>
        </w:tc>
      </w:tr>
      <w:tr w:rsidR="000E27CD" w14:paraId="4F8EE9C0" w14:textId="77777777">
        <w:trPr>
          <w:trHeight w:val="399"/>
        </w:trPr>
        <w:tc>
          <w:tcPr>
            <w:tcW w:w="584" w:type="dxa"/>
            <w:tcBorders>
              <w:top w:val="single" w:sz="4" w:space="0" w:color="000000"/>
              <w:left w:val="single" w:sz="4" w:space="0" w:color="000000"/>
            </w:tcBorders>
            <w:shd w:val="clear" w:color="auto" w:fill="FFFFFF"/>
            <w:tcMar>
              <w:top w:w="0" w:type="dxa"/>
              <w:bottom w:w="0" w:type="dxa"/>
            </w:tcMar>
            <w:vAlign w:val="center"/>
          </w:tcPr>
          <w:p w14:paraId="32F43BA8"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887" w:type="dxa"/>
            <w:tcBorders>
              <w:top w:val="single" w:sz="4" w:space="0" w:color="000000"/>
              <w:left w:val="single" w:sz="4" w:space="0" w:color="000000"/>
            </w:tcBorders>
            <w:shd w:val="clear" w:color="auto" w:fill="FFFFFF"/>
            <w:tcMar>
              <w:top w:w="0" w:type="dxa"/>
              <w:bottom w:w="0" w:type="dxa"/>
            </w:tcMar>
            <w:vAlign w:val="center"/>
          </w:tcPr>
          <w:p w14:paraId="5EA178CA"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revenue</w:t>
            </w:r>
          </w:p>
        </w:tc>
        <w:tc>
          <w:tcPr>
            <w:tcW w:w="1235" w:type="dxa"/>
            <w:tcBorders>
              <w:top w:val="single" w:sz="4" w:space="0" w:color="000000"/>
              <w:left w:val="single" w:sz="4" w:space="0" w:color="000000"/>
            </w:tcBorders>
            <w:shd w:val="clear" w:color="auto" w:fill="FFFFFF"/>
            <w:tcMar>
              <w:top w:w="0" w:type="dxa"/>
              <w:bottom w:w="0" w:type="dxa"/>
            </w:tcMar>
            <w:vAlign w:val="center"/>
          </w:tcPr>
          <w:p w14:paraId="73A3D8A3"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tcBorders>
            <w:shd w:val="clear" w:color="auto" w:fill="FFFFFF"/>
            <w:tcMar>
              <w:top w:w="0" w:type="dxa"/>
              <w:bottom w:w="0" w:type="dxa"/>
            </w:tcMar>
            <w:vAlign w:val="center"/>
          </w:tcPr>
          <w:p w14:paraId="6FBADDB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25,846</w:t>
            </w:r>
          </w:p>
        </w:tc>
        <w:tc>
          <w:tcPr>
            <w:tcW w:w="1672" w:type="dxa"/>
            <w:tcBorders>
              <w:top w:val="single" w:sz="4" w:space="0" w:color="000000"/>
              <w:left w:val="single" w:sz="4" w:space="0" w:color="000000"/>
            </w:tcBorders>
            <w:shd w:val="clear" w:color="auto" w:fill="FFFFFF"/>
            <w:tcMar>
              <w:top w:w="0" w:type="dxa"/>
              <w:bottom w:w="0" w:type="dxa"/>
            </w:tcMar>
            <w:vAlign w:val="center"/>
          </w:tcPr>
          <w:p w14:paraId="6ED7F8DC"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29,274</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tcPr>
          <w:p w14:paraId="6E731238" w14:textId="77777777" w:rsidR="000E27CD" w:rsidRDefault="000E27CD">
            <w:pPr>
              <w:spacing w:after="120" w:line="360" w:lineRule="auto"/>
              <w:rPr>
                <w:rFonts w:ascii="Arial" w:eastAsia="Arial" w:hAnsi="Arial" w:cs="Arial"/>
                <w:sz w:val="20"/>
                <w:szCs w:val="20"/>
              </w:rPr>
            </w:pPr>
          </w:p>
        </w:tc>
      </w:tr>
      <w:tr w:rsidR="000E27CD" w14:paraId="68BCC82B" w14:textId="77777777">
        <w:trPr>
          <w:trHeight w:val="388"/>
        </w:trPr>
        <w:tc>
          <w:tcPr>
            <w:tcW w:w="584" w:type="dxa"/>
            <w:tcBorders>
              <w:top w:val="single" w:sz="4" w:space="0" w:color="000000"/>
              <w:left w:val="single" w:sz="4" w:space="0" w:color="000000"/>
            </w:tcBorders>
            <w:shd w:val="clear" w:color="auto" w:fill="FFFFFF"/>
            <w:tcMar>
              <w:top w:w="0" w:type="dxa"/>
              <w:bottom w:w="0" w:type="dxa"/>
            </w:tcMar>
          </w:tcPr>
          <w:p w14:paraId="38AA4AE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2887" w:type="dxa"/>
            <w:tcBorders>
              <w:top w:val="single" w:sz="4" w:space="0" w:color="000000"/>
              <w:left w:val="single" w:sz="4" w:space="0" w:color="000000"/>
            </w:tcBorders>
            <w:shd w:val="clear" w:color="auto" w:fill="FFFFFF"/>
            <w:tcMar>
              <w:top w:w="0" w:type="dxa"/>
              <w:bottom w:w="0" w:type="dxa"/>
            </w:tcMar>
          </w:tcPr>
          <w:p w14:paraId="78079BA9"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1235" w:type="dxa"/>
            <w:tcBorders>
              <w:top w:val="single" w:sz="4" w:space="0" w:color="000000"/>
              <w:left w:val="single" w:sz="4" w:space="0" w:color="000000"/>
            </w:tcBorders>
            <w:shd w:val="clear" w:color="auto" w:fill="FFFFFF"/>
            <w:tcMar>
              <w:top w:w="0" w:type="dxa"/>
              <w:bottom w:w="0" w:type="dxa"/>
            </w:tcMar>
          </w:tcPr>
          <w:p w14:paraId="56EBA13F"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tcBorders>
            <w:shd w:val="clear" w:color="auto" w:fill="FFFFFF"/>
            <w:tcMar>
              <w:top w:w="0" w:type="dxa"/>
              <w:bottom w:w="0" w:type="dxa"/>
            </w:tcMar>
          </w:tcPr>
          <w:p w14:paraId="2895DBA9"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137,219</w:t>
            </w:r>
          </w:p>
        </w:tc>
        <w:tc>
          <w:tcPr>
            <w:tcW w:w="1672" w:type="dxa"/>
            <w:tcBorders>
              <w:top w:val="single" w:sz="4" w:space="0" w:color="000000"/>
              <w:left w:val="single" w:sz="4" w:space="0" w:color="000000"/>
            </w:tcBorders>
            <w:shd w:val="clear" w:color="auto" w:fill="FFFFFF"/>
            <w:tcMar>
              <w:top w:w="0" w:type="dxa"/>
              <w:bottom w:w="0" w:type="dxa"/>
            </w:tcMar>
          </w:tcPr>
          <w:p w14:paraId="181899D8"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130,156</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tcPr>
          <w:p w14:paraId="02D2B6D5" w14:textId="77777777" w:rsidR="000E27CD" w:rsidRDefault="000E27CD">
            <w:pPr>
              <w:spacing w:after="120" w:line="360" w:lineRule="auto"/>
              <w:rPr>
                <w:rFonts w:ascii="Arial" w:eastAsia="Arial" w:hAnsi="Arial" w:cs="Arial"/>
                <w:sz w:val="20"/>
                <w:szCs w:val="20"/>
              </w:rPr>
            </w:pPr>
          </w:p>
        </w:tc>
      </w:tr>
      <w:tr w:rsidR="000E27CD" w14:paraId="49147C09" w14:textId="77777777">
        <w:trPr>
          <w:trHeight w:val="388"/>
        </w:trPr>
        <w:tc>
          <w:tcPr>
            <w:tcW w:w="584" w:type="dxa"/>
            <w:tcBorders>
              <w:top w:val="single" w:sz="4" w:space="0" w:color="000000"/>
              <w:left w:val="single" w:sz="4" w:space="0" w:color="000000"/>
            </w:tcBorders>
            <w:shd w:val="clear" w:color="auto" w:fill="FFFFFF"/>
            <w:tcMar>
              <w:top w:w="0" w:type="dxa"/>
              <w:bottom w:w="0" w:type="dxa"/>
            </w:tcMar>
          </w:tcPr>
          <w:p w14:paraId="2D57FBB5"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IV</w:t>
            </w:r>
          </w:p>
        </w:tc>
        <w:tc>
          <w:tcPr>
            <w:tcW w:w="2887" w:type="dxa"/>
            <w:tcBorders>
              <w:top w:val="single" w:sz="4" w:space="0" w:color="000000"/>
              <w:left w:val="single" w:sz="4" w:space="0" w:color="000000"/>
            </w:tcBorders>
            <w:shd w:val="clear" w:color="auto" w:fill="FFFFFF"/>
            <w:tcMar>
              <w:top w:w="0" w:type="dxa"/>
              <w:bottom w:w="0" w:type="dxa"/>
            </w:tcMar>
          </w:tcPr>
          <w:p w14:paraId="23601051"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235" w:type="dxa"/>
            <w:tcBorders>
              <w:top w:val="single" w:sz="4" w:space="0" w:color="000000"/>
              <w:left w:val="single" w:sz="4" w:space="0" w:color="000000"/>
            </w:tcBorders>
            <w:shd w:val="clear" w:color="auto" w:fill="FFFFFF"/>
            <w:tcMar>
              <w:top w:w="0" w:type="dxa"/>
              <w:bottom w:w="0" w:type="dxa"/>
            </w:tcMar>
          </w:tcPr>
          <w:p w14:paraId="375ECACB"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tcBorders>
            <w:shd w:val="clear" w:color="auto" w:fill="FFFFFF"/>
            <w:tcMar>
              <w:top w:w="0" w:type="dxa"/>
              <w:bottom w:w="0" w:type="dxa"/>
            </w:tcMar>
          </w:tcPr>
          <w:p w14:paraId="4A969FA4"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42,615</w:t>
            </w:r>
          </w:p>
        </w:tc>
        <w:tc>
          <w:tcPr>
            <w:tcW w:w="1672" w:type="dxa"/>
            <w:tcBorders>
              <w:top w:val="single" w:sz="4" w:space="0" w:color="000000"/>
              <w:left w:val="single" w:sz="4" w:space="0" w:color="000000"/>
            </w:tcBorders>
            <w:shd w:val="clear" w:color="auto" w:fill="FFFFFF"/>
            <w:tcMar>
              <w:top w:w="0" w:type="dxa"/>
              <w:bottom w:w="0" w:type="dxa"/>
            </w:tcMar>
          </w:tcPr>
          <w:p w14:paraId="0F7744E0"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26,197</w:t>
            </w:r>
          </w:p>
        </w:tc>
        <w:tc>
          <w:tcPr>
            <w:tcW w:w="1260" w:type="dxa"/>
            <w:tcBorders>
              <w:top w:val="single" w:sz="4" w:space="0" w:color="000000"/>
              <w:left w:val="single" w:sz="4" w:space="0" w:color="000000"/>
              <w:right w:val="single" w:sz="4" w:space="0" w:color="000000"/>
            </w:tcBorders>
            <w:shd w:val="clear" w:color="auto" w:fill="FFFFFF"/>
            <w:tcMar>
              <w:top w:w="0" w:type="dxa"/>
              <w:bottom w:w="0" w:type="dxa"/>
            </w:tcMar>
          </w:tcPr>
          <w:p w14:paraId="6D9A073C" w14:textId="77777777" w:rsidR="000E27CD" w:rsidRDefault="000E27CD">
            <w:pPr>
              <w:spacing w:after="120" w:line="360" w:lineRule="auto"/>
              <w:rPr>
                <w:rFonts w:ascii="Arial" w:eastAsia="Arial" w:hAnsi="Arial" w:cs="Arial"/>
                <w:sz w:val="20"/>
                <w:szCs w:val="20"/>
              </w:rPr>
            </w:pPr>
          </w:p>
        </w:tc>
      </w:tr>
      <w:tr w:rsidR="000E27CD" w14:paraId="6B780F04" w14:textId="77777777">
        <w:trPr>
          <w:trHeight w:val="451"/>
        </w:trPr>
        <w:tc>
          <w:tcPr>
            <w:tcW w:w="584" w:type="dxa"/>
            <w:tcBorders>
              <w:top w:val="single" w:sz="4" w:space="0" w:color="000000"/>
              <w:left w:val="single" w:sz="4" w:space="0" w:color="000000"/>
              <w:bottom w:val="single" w:sz="4" w:space="0" w:color="000000"/>
            </w:tcBorders>
            <w:shd w:val="clear" w:color="auto" w:fill="FFFFFF"/>
            <w:tcMar>
              <w:top w:w="0" w:type="dxa"/>
              <w:bottom w:w="0" w:type="dxa"/>
            </w:tcMar>
          </w:tcPr>
          <w:p w14:paraId="31E74D32"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1894E89"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235" w:type="dxa"/>
            <w:tcBorders>
              <w:top w:val="single" w:sz="4" w:space="0" w:color="000000"/>
              <w:left w:val="single" w:sz="4" w:space="0" w:color="000000"/>
              <w:bottom w:val="single" w:sz="4" w:space="0" w:color="000000"/>
            </w:tcBorders>
            <w:shd w:val="clear" w:color="auto" w:fill="FFFFFF"/>
            <w:tcMar>
              <w:top w:w="0" w:type="dxa"/>
              <w:bottom w:w="0" w:type="dxa"/>
            </w:tcMar>
          </w:tcPr>
          <w:p w14:paraId="5B96894D"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78" w:type="dxa"/>
            <w:tcBorders>
              <w:top w:val="single" w:sz="4" w:space="0" w:color="000000"/>
              <w:left w:val="single" w:sz="4" w:space="0" w:color="000000"/>
              <w:bottom w:val="single" w:sz="4" w:space="0" w:color="000000"/>
            </w:tcBorders>
            <w:shd w:val="clear" w:color="auto" w:fill="FFFFFF"/>
            <w:tcMar>
              <w:top w:w="0" w:type="dxa"/>
              <w:bottom w:w="0" w:type="dxa"/>
            </w:tcMar>
          </w:tcPr>
          <w:p w14:paraId="391E3D45"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38,615</w:t>
            </w:r>
          </w:p>
        </w:tc>
        <w:tc>
          <w:tcPr>
            <w:tcW w:w="1672" w:type="dxa"/>
            <w:tcBorders>
              <w:top w:val="single" w:sz="4" w:space="0" w:color="000000"/>
              <w:left w:val="single" w:sz="4" w:space="0" w:color="000000"/>
              <w:bottom w:val="single" w:sz="4" w:space="0" w:color="000000"/>
            </w:tcBorders>
            <w:shd w:val="clear" w:color="auto" w:fill="FFFFFF"/>
            <w:tcMar>
              <w:top w:w="0" w:type="dxa"/>
              <w:bottom w:w="0" w:type="dxa"/>
            </w:tcMar>
          </w:tcPr>
          <w:p w14:paraId="582141ED" w14:textId="77777777" w:rsidR="000E27CD" w:rsidRDefault="00D501F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23,972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EEB1457" w14:textId="77777777" w:rsidR="000E27CD" w:rsidRDefault="000E27CD">
            <w:pPr>
              <w:spacing w:after="120" w:line="360" w:lineRule="auto"/>
              <w:rPr>
                <w:rFonts w:ascii="Arial" w:eastAsia="Arial" w:hAnsi="Arial" w:cs="Arial"/>
                <w:sz w:val="20"/>
                <w:szCs w:val="20"/>
              </w:rPr>
            </w:pPr>
          </w:p>
        </w:tc>
      </w:tr>
    </w:tbl>
    <w:p w14:paraId="77E4FC3E" w14:textId="53199255"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b</w:t>
      </w:r>
      <w:proofErr w:type="gramEnd"/>
      <w:r>
        <w:rPr>
          <w:rFonts w:ascii="Arial" w:hAnsi="Arial"/>
          <w:sz w:val="20"/>
        </w:rPr>
        <w:t xml:space="preserve">. </w:t>
      </w:r>
      <w:bookmarkStart w:id="0" w:name="_GoBack"/>
      <w:bookmarkEnd w:id="0"/>
      <w:r>
        <w:rPr>
          <w:rFonts w:ascii="Arial" w:hAnsi="Arial"/>
          <w:sz w:val="20"/>
        </w:rPr>
        <w:t>Some key targets for 2024</w:t>
      </w:r>
    </w:p>
    <w:p w14:paraId="26ADD707"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Commercial electricity output: 140.28 million kWh.</w:t>
      </w:r>
    </w:p>
    <w:p w14:paraId="761EEECC"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Total revenue: VND 168.81 billion.</w:t>
      </w:r>
    </w:p>
    <w:p w14:paraId="1BBBFE59" w14:textId="77777777" w:rsidR="000E27CD" w:rsidRDefault="00D501F1" w:rsidP="003432B5">
      <w:pPr>
        <w:numPr>
          <w:ilvl w:val="0"/>
          <w:numId w:val="1"/>
        </w:numPr>
        <w:pBdr>
          <w:top w:val="nil"/>
          <w:left w:val="nil"/>
          <w:bottom w:val="nil"/>
          <w:right w:val="nil"/>
          <w:between w:val="nil"/>
        </w:pBdr>
        <w:spacing w:line="360" w:lineRule="auto"/>
        <w:jc w:val="both"/>
        <w:rPr>
          <w:rFonts w:ascii="Arial" w:eastAsia="Arial" w:hAnsi="Arial" w:cs="Arial"/>
          <w:sz w:val="20"/>
          <w:szCs w:val="20"/>
        </w:rPr>
      </w:pPr>
      <w:r>
        <w:rPr>
          <w:rFonts w:ascii="Arial" w:hAnsi="Arial"/>
          <w:sz w:val="20"/>
        </w:rPr>
        <w:t xml:space="preserve"> In which, net revenue from electricity sales is: VND 142.08 billion;</w:t>
      </w:r>
    </w:p>
    <w:p w14:paraId="16196816" w14:textId="77777777" w:rsidR="000E27CD" w:rsidRDefault="00D501F1" w:rsidP="003432B5">
      <w:pPr>
        <w:numPr>
          <w:ilvl w:val="0"/>
          <w:numId w:val="1"/>
        </w:numPr>
        <w:pBdr>
          <w:top w:val="nil"/>
          <w:left w:val="nil"/>
          <w:bottom w:val="nil"/>
          <w:right w:val="nil"/>
          <w:between w:val="nil"/>
        </w:pBdr>
        <w:tabs>
          <w:tab w:val="left" w:pos="4556"/>
        </w:tabs>
        <w:spacing w:line="360" w:lineRule="auto"/>
        <w:jc w:val="both"/>
        <w:rPr>
          <w:rFonts w:ascii="Arial" w:eastAsia="Arial" w:hAnsi="Arial" w:cs="Arial"/>
          <w:sz w:val="20"/>
          <w:szCs w:val="20"/>
        </w:rPr>
      </w:pPr>
      <w:r>
        <w:rPr>
          <w:rFonts w:ascii="Arial" w:hAnsi="Arial"/>
          <w:sz w:val="20"/>
        </w:rPr>
        <w:t>Other revenue is: VND 26.72 billion.</w:t>
      </w:r>
    </w:p>
    <w:p w14:paraId="67BADFF8" w14:textId="77777777" w:rsidR="000E27CD" w:rsidRDefault="00D501F1" w:rsidP="003432B5">
      <w:pPr>
        <w:numPr>
          <w:ilvl w:val="0"/>
          <w:numId w:val="2"/>
        </w:numPr>
        <w:pBdr>
          <w:top w:val="nil"/>
          <w:left w:val="nil"/>
          <w:bottom w:val="nil"/>
          <w:right w:val="nil"/>
          <w:between w:val="nil"/>
        </w:pBdr>
        <w:tabs>
          <w:tab w:val="left" w:pos="180"/>
          <w:tab w:val="left" w:pos="4556"/>
        </w:tabs>
        <w:spacing w:after="120" w:line="360" w:lineRule="auto"/>
        <w:jc w:val="both"/>
        <w:rPr>
          <w:rFonts w:ascii="Arial" w:eastAsia="Arial" w:hAnsi="Arial" w:cs="Arial"/>
          <w:sz w:val="20"/>
          <w:szCs w:val="20"/>
        </w:rPr>
      </w:pPr>
      <w:r>
        <w:rPr>
          <w:rFonts w:ascii="Arial" w:hAnsi="Arial"/>
          <w:sz w:val="20"/>
        </w:rPr>
        <w:t>Total expense:</w:t>
      </w:r>
      <w:r>
        <w:rPr>
          <w:rFonts w:ascii="Arial" w:hAnsi="Arial"/>
          <w:sz w:val="20"/>
        </w:rPr>
        <w:tab/>
        <w:t>VND 134.45 billion;</w:t>
      </w:r>
    </w:p>
    <w:p w14:paraId="072F0DFB" w14:textId="77777777" w:rsidR="000E27CD" w:rsidRDefault="00D501F1" w:rsidP="003432B5">
      <w:pPr>
        <w:numPr>
          <w:ilvl w:val="0"/>
          <w:numId w:val="2"/>
        </w:numPr>
        <w:pBdr>
          <w:top w:val="nil"/>
          <w:left w:val="nil"/>
          <w:bottom w:val="nil"/>
          <w:right w:val="nil"/>
          <w:between w:val="nil"/>
        </w:pBdr>
        <w:tabs>
          <w:tab w:val="left" w:pos="180"/>
          <w:tab w:val="left" w:pos="4556"/>
        </w:tabs>
        <w:spacing w:after="120" w:line="360" w:lineRule="auto"/>
        <w:jc w:val="both"/>
        <w:rPr>
          <w:rFonts w:ascii="Arial" w:eastAsia="Arial" w:hAnsi="Arial" w:cs="Arial"/>
          <w:sz w:val="20"/>
          <w:szCs w:val="20"/>
        </w:rPr>
      </w:pPr>
      <w:r>
        <w:rPr>
          <w:rFonts w:ascii="Arial" w:hAnsi="Arial"/>
          <w:sz w:val="20"/>
        </w:rPr>
        <w:t>Profit before tax:</w:t>
      </w:r>
      <w:r>
        <w:rPr>
          <w:rFonts w:ascii="Arial" w:hAnsi="Arial"/>
          <w:sz w:val="20"/>
        </w:rPr>
        <w:tab/>
        <w:t>VND 34.36 billion</w:t>
      </w:r>
    </w:p>
    <w:p w14:paraId="33380457" w14:textId="77777777" w:rsidR="000E27CD" w:rsidRDefault="00D501F1" w:rsidP="003432B5">
      <w:pPr>
        <w:numPr>
          <w:ilvl w:val="0"/>
          <w:numId w:val="2"/>
        </w:numPr>
        <w:pBdr>
          <w:top w:val="nil"/>
          <w:left w:val="nil"/>
          <w:bottom w:val="nil"/>
          <w:right w:val="nil"/>
          <w:between w:val="nil"/>
        </w:pBdr>
        <w:tabs>
          <w:tab w:val="left" w:pos="180"/>
          <w:tab w:val="left" w:pos="4556"/>
        </w:tabs>
        <w:spacing w:after="120" w:line="360" w:lineRule="auto"/>
        <w:jc w:val="both"/>
        <w:rPr>
          <w:rFonts w:ascii="Arial" w:eastAsia="Arial" w:hAnsi="Arial" w:cs="Arial"/>
          <w:sz w:val="20"/>
          <w:szCs w:val="20"/>
        </w:rPr>
      </w:pPr>
      <w:r>
        <w:rPr>
          <w:rFonts w:ascii="Arial" w:hAnsi="Arial"/>
          <w:sz w:val="20"/>
        </w:rPr>
        <w:lastRenderedPageBreak/>
        <w:t>Profit after tax:</w:t>
      </w:r>
      <w:r>
        <w:rPr>
          <w:rFonts w:ascii="Arial" w:hAnsi="Arial"/>
          <w:sz w:val="20"/>
        </w:rPr>
        <w:tab/>
        <w:t>VND 30.92 billion</w:t>
      </w:r>
    </w:p>
    <w:p w14:paraId="070B5341"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Approve the Supervisory Board's Report for 2023 and plans and orientations for 2024; </w:t>
      </w:r>
    </w:p>
    <w:p w14:paraId="58858954"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Approve the audited Financial Statements for 2023 </w:t>
      </w:r>
    </w:p>
    <w:p w14:paraId="15F23582"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Approve the Proposal on remuneration of the Board of Directors and Supervisory Board in 2023 and the plan for paying remuneration in 2024 </w:t>
      </w:r>
    </w:p>
    <w:p w14:paraId="07FB757A"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Approve the Proposal for selecting an independent audit company for the fiscal year 2024 </w:t>
      </w:r>
    </w:p>
    <w:p w14:paraId="54D6741A" w14:textId="77777777" w:rsidR="000E27CD" w:rsidRDefault="00D501F1" w:rsidP="003432B5">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Approve: The transfer of voting shares of shareholder REE Energy Co., Ltd. to Mr. Vu Ngoc Duong to own SP2 shares to reach the levels specified in Clause 1, Article 35 of the Securities Law No. 54/2019/QH14 dated November 26, 2019 without having to carry out public offering procedures, with specific contents as follows:</w:t>
      </w:r>
      <w:r>
        <w:rPr>
          <w:rFonts w:ascii="Arial" w:hAnsi="Arial"/>
          <w:sz w:val="20"/>
        </w:rPr>
        <w:tab/>
      </w:r>
    </w:p>
    <w:p w14:paraId="4230FEC9" w14:textId="77777777" w:rsidR="000E27CD" w:rsidRDefault="00D501F1" w:rsidP="003432B5">
      <w:pPr>
        <w:numPr>
          <w:ilvl w:val="1"/>
          <w:numId w:val="3"/>
        </w:numPr>
        <w:pBdr>
          <w:top w:val="nil"/>
          <w:left w:val="nil"/>
          <w:bottom w:val="nil"/>
          <w:right w:val="nil"/>
          <w:between w:val="nil"/>
        </w:pBdr>
        <w:tabs>
          <w:tab w:val="left" w:pos="450"/>
          <w:tab w:val="left" w:pos="9217"/>
        </w:tabs>
        <w:spacing w:after="120" w:line="360" w:lineRule="auto"/>
        <w:jc w:val="both"/>
        <w:rPr>
          <w:rFonts w:ascii="Arial" w:eastAsia="Arial" w:hAnsi="Arial" w:cs="Arial"/>
          <w:sz w:val="20"/>
          <w:szCs w:val="20"/>
        </w:rPr>
      </w:pPr>
      <w:r>
        <w:rPr>
          <w:rFonts w:ascii="Arial" w:hAnsi="Arial"/>
          <w:sz w:val="20"/>
        </w:rPr>
        <w:t>Buyer/Transferee: Vu Ngoc Duong</w:t>
      </w:r>
    </w:p>
    <w:p w14:paraId="6CAB29BA"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ID card number 035064000088 issued by the Police Department of Administrative Management of Social Order, on February 19, 2022</w:t>
      </w:r>
    </w:p>
    <w:p w14:paraId="7D6CB40F"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 xml:space="preserve">Permanent address Apartment 5, 8th Floor, Hh2-Bac Ha, Group 36, </w:t>
      </w:r>
      <w:proofErr w:type="spellStart"/>
      <w:r>
        <w:rPr>
          <w:rFonts w:ascii="Arial" w:hAnsi="Arial"/>
          <w:sz w:val="20"/>
        </w:rPr>
        <w:t>Nhan</w:t>
      </w:r>
      <w:proofErr w:type="spellEnd"/>
      <w:r>
        <w:rPr>
          <w:rFonts w:ascii="Arial" w:hAnsi="Arial"/>
          <w:sz w:val="20"/>
        </w:rPr>
        <w:t xml:space="preserve"> Chinh, Thanh Xuan, Hanoi</w:t>
      </w:r>
    </w:p>
    <w:p w14:paraId="4E44AE71"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Number of shares currently held at SP2: 0 share.</w:t>
      </w:r>
    </w:p>
    <w:p w14:paraId="3BE4FCCB"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Information of expected shares to buy:</w:t>
      </w:r>
    </w:p>
    <w:p w14:paraId="5AC2C61F"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Share name: shares of Su Pan 2 Hydropower Joint Stock Company</w:t>
      </w:r>
    </w:p>
    <w:p w14:paraId="7D376CF3"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Securities code: SP2</w:t>
      </w:r>
    </w:p>
    <w:p w14:paraId="525B9060"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Share type: common share</w:t>
      </w:r>
    </w:p>
    <w:p w14:paraId="1DBE9482"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Par value: VND 10,000</w:t>
      </w:r>
    </w:p>
    <w:p w14:paraId="33540CB4"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Number of shares expected to be transferred:  5,956,800 shares, equivalent to 28.71% of charter capital of Su Pan 2 Hydropower Joint Stock Company</w:t>
      </w:r>
    </w:p>
    <w:p w14:paraId="3A782830" w14:textId="0C41F4DD" w:rsidR="000E27CD" w:rsidRDefault="00D501F1" w:rsidP="003432B5">
      <w:pPr>
        <w:numPr>
          <w:ilvl w:val="1"/>
          <w:numId w:val="3"/>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Seller/Transferor: REE Energy Co., Ltd.</w:t>
      </w:r>
    </w:p>
    <w:p w14:paraId="2EAA8843"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Enterprise Registration Certificate No. 0316514160 issued by the Department of Planning and Investment of Ho Chi Minh City for the first time on September 30, 2020.</w:t>
      </w:r>
    </w:p>
    <w:p w14:paraId="5F3A4F79"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Head office address: 364 Cong Hoa, Ward 13, Tan Binh District, Ho Chi Minh City, Vietnam.</w:t>
      </w:r>
    </w:p>
    <w:p w14:paraId="5B07CCB1" w14:textId="77777777" w:rsidR="000E27CD" w:rsidRDefault="00D501F1" w:rsidP="003432B5">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Number of shares expected to be transferred:  5,956,800 shares, equivalent to 28.71% of the charter capital of Su Pan 2 Hydropower Joint Stock Company</w:t>
      </w:r>
    </w:p>
    <w:p w14:paraId="5544862E"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The General Meeting of Shareholders of the Company assigns the Board of Directors of the Company to implement and carry out the contents in accordance with the provisions of the Law, the Company's Charter and report the implementation results at the next Annual General Meeting of Shareholders.</w:t>
      </w:r>
    </w:p>
    <w:p w14:paraId="40DC716C" w14:textId="77777777"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lastRenderedPageBreak/>
        <w:t>‎‎Article 3.</w:t>
      </w:r>
      <w:proofErr w:type="gramEnd"/>
      <w:r>
        <w:rPr>
          <w:rFonts w:ascii="Arial" w:hAnsi="Arial"/>
          <w:sz w:val="20"/>
        </w:rPr>
        <w:t xml:space="preserve"> This General Mandate was approved by the General Meeting of Shareholders of Su Pan 2 Hydropower Joint Stock Company and takes effect from the date of signing.</w:t>
      </w:r>
    </w:p>
    <w:p w14:paraId="3D1DC379" w14:textId="1BFF96FB" w:rsidR="000E27CD" w:rsidRDefault="00D501F1" w:rsidP="003432B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Company's Shareholders; Members of the Board of Directors, Supervisory Board, Board of Management and related individuals are responsible for implementing this General Mandate.</w:t>
      </w:r>
    </w:p>
    <w:sectPr w:rsidR="000E27CD">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DE2"/>
    <w:multiLevelType w:val="multilevel"/>
    <w:tmpl w:val="C4D24AE6"/>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B138E3"/>
    <w:multiLevelType w:val="multilevel"/>
    <w:tmpl w:val="349E07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B171CD0"/>
    <w:multiLevelType w:val="multilevel"/>
    <w:tmpl w:val="28602FDA"/>
    <w:lvl w:ilvl="0">
      <w:start w:val="1"/>
      <w:numFmt w:val="bullet"/>
      <w:lvlText w:val="-"/>
      <w:lvlJc w:val="left"/>
      <w:pPr>
        <w:ind w:left="0" w:firstLine="0"/>
      </w:pPr>
      <w:rPr>
        <w:rFonts w:ascii="Times New Roman" w:eastAsia="Times New Roman" w:hAnsi="Times New Roman" w:cs="Times New Roman"/>
        <w:b w:val="0"/>
        <w:i/>
        <w:smallCaps w:val="0"/>
        <w:strike w:val="0"/>
        <w:color w:val="000000"/>
        <w:sz w:val="19"/>
        <w:szCs w:val="19"/>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CD"/>
    <w:rsid w:val="000E27CD"/>
    <w:rsid w:val="003432B5"/>
    <w:rsid w:val="00D501F1"/>
    <w:rsid w:val="00EC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14" w:lineRule="auto"/>
      <w:ind w:firstLine="25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pPr>
      <w:spacing w:line="314" w:lineRule="auto"/>
      <w:ind w:firstLine="25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36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14" w:lineRule="auto"/>
      <w:ind w:firstLine="25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pPr>
      <w:spacing w:line="314" w:lineRule="auto"/>
      <w:ind w:firstLine="25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36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cXBjvlxbCNBWcslvs++L/WCTnA==">CgMxLjA4AHIhMWpEei0yTTZ2czZwUTBvUERuRUlkZUo5alpVYkVINDh3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2024-05-06T04:49:00Z</dcterms:created>
  <dcterms:modified xsi:type="dcterms:W3CDTF">2024-05-07T08:22:00Z</dcterms:modified>
</cp:coreProperties>
</file>