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2D44" w14:textId="77777777" w:rsidR="00592FEF" w:rsidRPr="00A01F98" w:rsidRDefault="00A01F98" w:rsidP="00F86219">
      <w:pPr>
        <w:pBdr>
          <w:top w:val="nil"/>
          <w:left w:val="nil"/>
          <w:bottom w:val="nil"/>
          <w:right w:val="nil"/>
          <w:between w:val="nil"/>
        </w:pBdr>
        <w:tabs>
          <w:tab w:val="left" w:pos="432"/>
          <w:tab w:val="left" w:pos="8386"/>
        </w:tabs>
        <w:spacing w:after="120" w:line="360" w:lineRule="auto"/>
        <w:jc w:val="both"/>
        <w:rPr>
          <w:rFonts w:ascii="Arial" w:eastAsia="Arial" w:hAnsi="Arial" w:cs="Arial"/>
          <w:b/>
          <w:sz w:val="20"/>
          <w:szCs w:val="20"/>
        </w:rPr>
      </w:pPr>
      <w:r>
        <w:rPr>
          <w:rFonts w:ascii="Arial" w:hAnsi="Arial"/>
          <w:b/>
          <w:sz w:val="20"/>
        </w:rPr>
        <w:t>SRT: Annual General Mandate 2024</w:t>
      </w:r>
    </w:p>
    <w:p w14:paraId="44BE432C" w14:textId="77777777" w:rsidR="00592FEF" w:rsidRPr="00A01F98" w:rsidRDefault="00A01F98" w:rsidP="00F86219">
      <w:pPr>
        <w:pBdr>
          <w:top w:val="nil"/>
          <w:left w:val="nil"/>
          <w:bottom w:val="nil"/>
          <w:right w:val="nil"/>
          <w:between w:val="nil"/>
        </w:pBdr>
        <w:tabs>
          <w:tab w:val="left" w:pos="432"/>
          <w:tab w:val="left" w:pos="8386"/>
        </w:tabs>
        <w:spacing w:after="120" w:line="360" w:lineRule="auto"/>
        <w:jc w:val="both"/>
        <w:rPr>
          <w:rFonts w:ascii="Arial" w:eastAsia="Arial" w:hAnsi="Arial" w:cs="Arial"/>
          <w:sz w:val="20"/>
          <w:szCs w:val="20"/>
        </w:rPr>
      </w:pPr>
      <w:r>
        <w:rPr>
          <w:rFonts w:ascii="Arial" w:hAnsi="Arial"/>
          <w:sz w:val="20"/>
        </w:rPr>
        <w:t xml:space="preserve">On April 29, 2024, Saigon Railway Transport Joint Stock Company announced General Mandate No. 01-24/NQ-DHDCD as follows: </w:t>
      </w:r>
    </w:p>
    <w:p w14:paraId="5223D509" w14:textId="77777777" w:rsidR="00592FEF" w:rsidRPr="00A01F98" w:rsidRDefault="00A01F98" w:rsidP="00F86219">
      <w:pPr>
        <w:pBdr>
          <w:top w:val="nil"/>
          <w:left w:val="nil"/>
          <w:bottom w:val="nil"/>
          <w:right w:val="nil"/>
          <w:between w:val="nil"/>
        </w:pBdr>
        <w:tabs>
          <w:tab w:val="left" w:pos="432"/>
          <w:tab w:val="left" w:pos="8386"/>
        </w:tabs>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Approve the following contents:</w:t>
      </w:r>
      <w:r>
        <w:rPr>
          <w:rFonts w:ascii="Arial" w:hAnsi="Arial"/>
          <w:sz w:val="20"/>
        </w:rPr>
        <w:tab/>
      </w:r>
    </w:p>
    <w:p w14:paraId="43B0A33F" w14:textId="77777777" w:rsidR="00592FEF" w:rsidRPr="00A01F98" w:rsidRDefault="00A01F98" w:rsidP="00F86219">
      <w:pPr>
        <w:numPr>
          <w:ilvl w:val="0"/>
          <w:numId w:val="6"/>
        </w:numPr>
        <w:pBdr>
          <w:top w:val="nil"/>
          <w:left w:val="nil"/>
          <w:bottom w:val="nil"/>
          <w:right w:val="nil"/>
          <w:between w:val="nil"/>
        </w:pBdr>
        <w:tabs>
          <w:tab w:val="left" w:pos="432"/>
          <w:tab w:val="left" w:pos="1078"/>
        </w:tabs>
        <w:spacing w:after="120" w:line="360" w:lineRule="auto"/>
        <w:ind w:left="0" w:firstLine="0"/>
        <w:jc w:val="both"/>
        <w:rPr>
          <w:rFonts w:ascii="Arial" w:eastAsia="Arial" w:hAnsi="Arial" w:cs="Arial"/>
          <w:bCs/>
          <w:sz w:val="20"/>
          <w:szCs w:val="20"/>
        </w:rPr>
      </w:pPr>
      <w:r>
        <w:rPr>
          <w:rFonts w:ascii="Arial" w:hAnsi="Arial"/>
          <w:sz w:val="20"/>
        </w:rPr>
        <w:t xml:space="preserve">Report on activities of the Board of Directors in 2023 </w:t>
      </w:r>
    </w:p>
    <w:p w14:paraId="6A736DB8" w14:textId="7D1B8585" w:rsidR="00592FEF" w:rsidRPr="00362E11" w:rsidRDefault="00A01F98" w:rsidP="00F86219">
      <w:pPr>
        <w:numPr>
          <w:ilvl w:val="0"/>
          <w:numId w:val="11"/>
        </w:numPr>
        <w:pBdr>
          <w:top w:val="nil"/>
          <w:left w:val="nil"/>
          <w:bottom w:val="nil"/>
          <w:right w:val="nil"/>
          <w:between w:val="nil"/>
        </w:pBdr>
        <w:tabs>
          <w:tab w:val="left" w:pos="432"/>
          <w:tab w:val="left" w:pos="1078"/>
        </w:tabs>
        <w:spacing w:after="120" w:line="360" w:lineRule="auto"/>
        <w:ind w:left="0" w:firstLine="0"/>
        <w:jc w:val="both"/>
        <w:rPr>
          <w:rFonts w:ascii="Arial" w:eastAsia="Arial" w:hAnsi="Arial" w:cs="Arial"/>
          <w:sz w:val="20"/>
          <w:szCs w:val="20"/>
        </w:rPr>
      </w:pPr>
      <w:r w:rsidRPr="00362E11">
        <w:rPr>
          <w:rFonts w:ascii="Arial" w:hAnsi="Arial"/>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1"/>
        <w:gridCol w:w="2702"/>
        <w:gridCol w:w="1268"/>
        <w:gridCol w:w="1797"/>
        <w:gridCol w:w="1277"/>
        <w:gridCol w:w="1341"/>
      </w:tblGrid>
      <w:tr w:rsidR="00592FEF" w:rsidRPr="00362E11" w14:paraId="1FCAD990" w14:textId="77777777" w:rsidTr="00A01F98">
        <w:tc>
          <w:tcPr>
            <w:tcW w:w="365" w:type="pct"/>
            <w:shd w:val="clear" w:color="auto" w:fill="auto"/>
            <w:tcMar>
              <w:top w:w="0" w:type="dxa"/>
              <w:bottom w:w="0" w:type="dxa"/>
            </w:tcMar>
            <w:vAlign w:val="center"/>
          </w:tcPr>
          <w:p w14:paraId="694510C5"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No.</w:t>
            </w:r>
          </w:p>
        </w:tc>
        <w:tc>
          <w:tcPr>
            <w:tcW w:w="1493" w:type="pct"/>
            <w:shd w:val="clear" w:color="auto" w:fill="auto"/>
            <w:tcMar>
              <w:top w:w="0" w:type="dxa"/>
              <w:bottom w:w="0" w:type="dxa"/>
            </w:tcMar>
            <w:vAlign w:val="center"/>
          </w:tcPr>
          <w:p w14:paraId="19A1491C"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Target</w:t>
            </w:r>
          </w:p>
        </w:tc>
        <w:tc>
          <w:tcPr>
            <w:tcW w:w="701" w:type="pct"/>
            <w:shd w:val="clear" w:color="auto" w:fill="auto"/>
            <w:tcMar>
              <w:top w:w="0" w:type="dxa"/>
              <w:bottom w:w="0" w:type="dxa"/>
            </w:tcMar>
            <w:vAlign w:val="center"/>
          </w:tcPr>
          <w:p w14:paraId="5B7E6E18"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Unit</w:t>
            </w:r>
          </w:p>
        </w:tc>
        <w:tc>
          <w:tcPr>
            <w:tcW w:w="993" w:type="pct"/>
            <w:shd w:val="clear" w:color="auto" w:fill="auto"/>
            <w:tcMar>
              <w:top w:w="0" w:type="dxa"/>
              <w:bottom w:w="0" w:type="dxa"/>
            </w:tcMar>
            <w:vAlign w:val="center"/>
          </w:tcPr>
          <w:p w14:paraId="1C526E08"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2023 Plan</w:t>
            </w:r>
          </w:p>
          <w:p w14:paraId="2153DE2F"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(According to the Annual General Mandate 2023)</w:t>
            </w:r>
          </w:p>
        </w:tc>
        <w:tc>
          <w:tcPr>
            <w:tcW w:w="706" w:type="pct"/>
            <w:shd w:val="clear" w:color="auto" w:fill="auto"/>
            <w:tcMar>
              <w:top w:w="0" w:type="dxa"/>
              <w:bottom w:w="0" w:type="dxa"/>
            </w:tcMar>
            <w:vAlign w:val="center"/>
          </w:tcPr>
          <w:p w14:paraId="297F6A2C"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Results 2023</w:t>
            </w:r>
          </w:p>
        </w:tc>
        <w:tc>
          <w:tcPr>
            <w:tcW w:w="741" w:type="pct"/>
            <w:shd w:val="clear" w:color="auto" w:fill="auto"/>
            <w:tcMar>
              <w:top w:w="0" w:type="dxa"/>
              <w:bottom w:w="0" w:type="dxa"/>
            </w:tcMar>
            <w:vAlign w:val="center"/>
          </w:tcPr>
          <w:p w14:paraId="1818DD33"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Results/Plan (%)</w:t>
            </w:r>
          </w:p>
          <w:p w14:paraId="0CEA9E62"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w:t>
            </w:r>
          </w:p>
        </w:tc>
      </w:tr>
      <w:tr w:rsidR="00592FEF" w:rsidRPr="00362E11" w14:paraId="49187321" w14:textId="77777777" w:rsidTr="00A01F98">
        <w:tc>
          <w:tcPr>
            <w:tcW w:w="365" w:type="pct"/>
            <w:shd w:val="clear" w:color="auto" w:fill="auto"/>
            <w:tcMar>
              <w:top w:w="0" w:type="dxa"/>
              <w:bottom w:w="0" w:type="dxa"/>
            </w:tcMar>
            <w:vAlign w:val="center"/>
          </w:tcPr>
          <w:p w14:paraId="4409397C"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I</w:t>
            </w:r>
          </w:p>
        </w:tc>
        <w:tc>
          <w:tcPr>
            <w:tcW w:w="1493" w:type="pct"/>
            <w:shd w:val="clear" w:color="auto" w:fill="auto"/>
            <w:tcMar>
              <w:top w:w="0" w:type="dxa"/>
              <w:bottom w:w="0" w:type="dxa"/>
            </w:tcMar>
            <w:vAlign w:val="center"/>
          </w:tcPr>
          <w:p w14:paraId="30EF3186"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Total revenue</w:t>
            </w:r>
          </w:p>
        </w:tc>
        <w:tc>
          <w:tcPr>
            <w:tcW w:w="701" w:type="pct"/>
            <w:shd w:val="clear" w:color="auto" w:fill="auto"/>
            <w:tcMar>
              <w:top w:w="0" w:type="dxa"/>
              <w:bottom w:w="0" w:type="dxa"/>
            </w:tcMar>
            <w:vAlign w:val="center"/>
          </w:tcPr>
          <w:p w14:paraId="634BB599"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Million VND</w:t>
            </w:r>
          </w:p>
        </w:tc>
        <w:tc>
          <w:tcPr>
            <w:tcW w:w="993" w:type="pct"/>
            <w:shd w:val="clear" w:color="auto" w:fill="auto"/>
            <w:tcMar>
              <w:top w:w="0" w:type="dxa"/>
              <w:bottom w:w="0" w:type="dxa"/>
            </w:tcMar>
            <w:vAlign w:val="center"/>
          </w:tcPr>
          <w:p w14:paraId="6A829934"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1,769,000</w:t>
            </w:r>
          </w:p>
        </w:tc>
        <w:tc>
          <w:tcPr>
            <w:tcW w:w="706" w:type="pct"/>
            <w:shd w:val="clear" w:color="auto" w:fill="auto"/>
            <w:tcMar>
              <w:top w:w="0" w:type="dxa"/>
              <w:bottom w:w="0" w:type="dxa"/>
            </w:tcMar>
            <w:vAlign w:val="center"/>
          </w:tcPr>
          <w:p w14:paraId="2F3C4BF0"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1,708,313</w:t>
            </w:r>
          </w:p>
        </w:tc>
        <w:tc>
          <w:tcPr>
            <w:tcW w:w="741" w:type="pct"/>
            <w:shd w:val="clear" w:color="auto" w:fill="auto"/>
            <w:tcMar>
              <w:top w:w="0" w:type="dxa"/>
              <w:bottom w:w="0" w:type="dxa"/>
            </w:tcMar>
            <w:vAlign w:val="center"/>
          </w:tcPr>
          <w:p w14:paraId="373A0D2E"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96.57%</w:t>
            </w:r>
          </w:p>
        </w:tc>
      </w:tr>
      <w:tr w:rsidR="00592FEF" w:rsidRPr="00362E11" w14:paraId="74B9A482" w14:textId="77777777" w:rsidTr="00A01F98">
        <w:tc>
          <w:tcPr>
            <w:tcW w:w="365" w:type="pct"/>
            <w:shd w:val="clear" w:color="auto" w:fill="auto"/>
            <w:tcMar>
              <w:top w:w="0" w:type="dxa"/>
              <w:bottom w:w="0" w:type="dxa"/>
            </w:tcMar>
            <w:vAlign w:val="center"/>
          </w:tcPr>
          <w:p w14:paraId="4A059586"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sidRPr="00362E11">
              <w:rPr>
                <w:rFonts w:ascii="Arial" w:hAnsi="Arial"/>
                <w:sz w:val="20"/>
              </w:rPr>
              <w:t>ll</w:t>
            </w:r>
            <w:proofErr w:type="spellEnd"/>
          </w:p>
        </w:tc>
        <w:tc>
          <w:tcPr>
            <w:tcW w:w="1493" w:type="pct"/>
            <w:shd w:val="clear" w:color="auto" w:fill="auto"/>
            <w:tcMar>
              <w:top w:w="0" w:type="dxa"/>
              <w:bottom w:w="0" w:type="dxa"/>
            </w:tcMar>
            <w:vAlign w:val="center"/>
          </w:tcPr>
          <w:p w14:paraId="53461C08"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Net revenue from goods sale and service provision</w:t>
            </w:r>
          </w:p>
        </w:tc>
        <w:tc>
          <w:tcPr>
            <w:tcW w:w="701" w:type="pct"/>
            <w:shd w:val="clear" w:color="auto" w:fill="auto"/>
            <w:tcMar>
              <w:top w:w="0" w:type="dxa"/>
              <w:bottom w:w="0" w:type="dxa"/>
            </w:tcMar>
            <w:vAlign w:val="center"/>
          </w:tcPr>
          <w:p w14:paraId="43AE3D64"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Million VND</w:t>
            </w:r>
          </w:p>
        </w:tc>
        <w:tc>
          <w:tcPr>
            <w:tcW w:w="993" w:type="pct"/>
            <w:shd w:val="clear" w:color="auto" w:fill="auto"/>
            <w:tcMar>
              <w:top w:w="0" w:type="dxa"/>
              <w:bottom w:w="0" w:type="dxa"/>
            </w:tcMar>
            <w:vAlign w:val="center"/>
          </w:tcPr>
          <w:p w14:paraId="0E76010B"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1,747,500</w:t>
            </w:r>
          </w:p>
        </w:tc>
        <w:tc>
          <w:tcPr>
            <w:tcW w:w="706" w:type="pct"/>
            <w:shd w:val="clear" w:color="auto" w:fill="auto"/>
            <w:tcMar>
              <w:top w:w="0" w:type="dxa"/>
              <w:bottom w:w="0" w:type="dxa"/>
            </w:tcMar>
            <w:vAlign w:val="center"/>
          </w:tcPr>
          <w:p w14:paraId="6012C30F"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1,691,687</w:t>
            </w:r>
          </w:p>
        </w:tc>
        <w:tc>
          <w:tcPr>
            <w:tcW w:w="741" w:type="pct"/>
            <w:shd w:val="clear" w:color="auto" w:fill="auto"/>
            <w:tcMar>
              <w:top w:w="0" w:type="dxa"/>
              <w:bottom w:w="0" w:type="dxa"/>
            </w:tcMar>
            <w:vAlign w:val="center"/>
          </w:tcPr>
          <w:p w14:paraId="4AD1FBE7"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96.81%</w:t>
            </w:r>
          </w:p>
        </w:tc>
      </w:tr>
      <w:tr w:rsidR="00592FEF" w:rsidRPr="00362E11" w14:paraId="5ECA75A0" w14:textId="77777777" w:rsidTr="00A01F98">
        <w:tc>
          <w:tcPr>
            <w:tcW w:w="365" w:type="pct"/>
            <w:shd w:val="clear" w:color="auto" w:fill="auto"/>
            <w:tcMar>
              <w:top w:w="0" w:type="dxa"/>
              <w:bottom w:w="0" w:type="dxa"/>
            </w:tcMar>
            <w:vAlign w:val="center"/>
          </w:tcPr>
          <w:p w14:paraId="10E8F608"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1.2</w:t>
            </w:r>
          </w:p>
        </w:tc>
        <w:tc>
          <w:tcPr>
            <w:tcW w:w="1493" w:type="pct"/>
            <w:shd w:val="clear" w:color="auto" w:fill="auto"/>
            <w:tcMar>
              <w:top w:w="0" w:type="dxa"/>
              <w:bottom w:w="0" w:type="dxa"/>
            </w:tcMar>
            <w:vAlign w:val="center"/>
          </w:tcPr>
          <w:p w14:paraId="54334C79"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Financial revenue</w:t>
            </w:r>
          </w:p>
        </w:tc>
        <w:tc>
          <w:tcPr>
            <w:tcW w:w="701" w:type="pct"/>
            <w:shd w:val="clear" w:color="auto" w:fill="auto"/>
            <w:tcMar>
              <w:top w:w="0" w:type="dxa"/>
              <w:bottom w:w="0" w:type="dxa"/>
            </w:tcMar>
            <w:vAlign w:val="center"/>
          </w:tcPr>
          <w:p w14:paraId="4F09A74E"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Million VND</w:t>
            </w:r>
          </w:p>
        </w:tc>
        <w:tc>
          <w:tcPr>
            <w:tcW w:w="993" w:type="pct"/>
            <w:shd w:val="clear" w:color="auto" w:fill="auto"/>
            <w:tcMar>
              <w:top w:w="0" w:type="dxa"/>
              <w:bottom w:w="0" w:type="dxa"/>
            </w:tcMar>
            <w:vAlign w:val="center"/>
          </w:tcPr>
          <w:p w14:paraId="40644403"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1,500</w:t>
            </w:r>
          </w:p>
        </w:tc>
        <w:tc>
          <w:tcPr>
            <w:tcW w:w="706" w:type="pct"/>
            <w:shd w:val="clear" w:color="auto" w:fill="auto"/>
            <w:tcMar>
              <w:top w:w="0" w:type="dxa"/>
              <w:bottom w:w="0" w:type="dxa"/>
            </w:tcMar>
            <w:vAlign w:val="center"/>
          </w:tcPr>
          <w:p w14:paraId="6191F769"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155</w:t>
            </w:r>
          </w:p>
        </w:tc>
        <w:tc>
          <w:tcPr>
            <w:tcW w:w="741" w:type="pct"/>
            <w:shd w:val="clear" w:color="auto" w:fill="auto"/>
            <w:tcMar>
              <w:top w:w="0" w:type="dxa"/>
              <w:bottom w:w="0" w:type="dxa"/>
            </w:tcMar>
            <w:vAlign w:val="center"/>
          </w:tcPr>
          <w:p w14:paraId="37CD6C8F"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10.33%</w:t>
            </w:r>
          </w:p>
        </w:tc>
      </w:tr>
      <w:tr w:rsidR="00592FEF" w:rsidRPr="00362E11" w14:paraId="73A5A882" w14:textId="77777777" w:rsidTr="00A01F98">
        <w:tc>
          <w:tcPr>
            <w:tcW w:w="365" w:type="pct"/>
            <w:shd w:val="clear" w:color="auto" w:fill="auto"/>
            <w:tcMar>
              <w:top w:w="0" w:type="dxa"/>
              <w:bottom w:w="0" w:type="dxa"/>
            </w:tcMar>
            <w:vAlign w:val="center"/>
          </w:tcPr>
          <w:p w14:paraId="180F6680"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1.3</w:t>
            </w:r>
          </w:p>
        </w:tc>
        <w:tc>
          <w:tcPr>
            <w:tcW w:w="1493" w:type="pct"/>
            <w:shd w:val="clear" w:color="auto" w:fill="auto"/>
            <w:tcMar>
              <w:top w:w="0" w:type="dxa"/>
              <w:bottom w:w="0" w:type="dxa"/>
            </w:tcMar>
            <w:vAlign w:val="center"/>
          </w:tcPr>
          <w:p w14:paraId="21DBFB24"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Other operating revenue</w:t>
            </w:r>
          </w:p>
        </w:tc>
        <w:tc>
          <w:tcPr>
            <w:tcW w:w="701" w:type="pct"/>
            <w:shd w:val="clear" w:color="auto" w:fill="auto"/>
            <w:tcMar>
              <w:top w:w="0" w:type="dxa"/>
              <w:bottom w:w="0" w:type="dxa"/>
            </w:tcMar>
            <w:vAlign w:val="center"/>
          </w:tcPr>
          <w:p w14:paraId="0F3E683A"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Million VND</w:t>
            </w:r>
          </w:p>
        </w:tc>
        <w:tc>
          <w:tcPr>
            <w:tcW w:w="993" w:type="pct"/>
            <w:shd w:val="clear" w:color="auto" w:fill="auto"/>
            <w:tcMar>
              <w:top w:w="0" w:type="dxa"/>
              <w:bottom w:w="0" w:type="dxa"/>
            </w:tcMar>
            <w:vAlign w:val="center"/>
          </w:tcPr>
          <w:p w14:paraId="68312BDF"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20,000</w:t>
            </w:r>
          </w:p>
        </w:tc>
        <w:tc>
          <w:tcPr>
            <w:tcW w:w="706" w:type="pct"/>
            <w:shd w:val="clear" w:color="auto" w:fill="auto"/>
            <w:tcMar>
              <w:top w:w="0" w:type="dxa"/>
              <w:bottom w:w="0" w:type="dxa"/>
            </w:tcMar>
            <w:vAlign w:val="center"/>
          </w:tcPr>
          <w:p w14:paraId="416CE9B2"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16,472</w:t>
            </w:r>
          </w:p>
        </w:tc>
        <w:tc>
          <w:tcPr>
            <w:tcW w:w="741" w:type="pct"/>
            <w:shd w:val="clear" w:color="auto" w:fill="auto"/>
            <w:tcMar>
              <w:top w:w="0" w:type="dxa"/>
              <w:bottom w:w="0" w:type="dxa"/>
            </w:tcMar>
            <w:vAlign w:val="center"/>
          </w:tcPr>
          <w:p w14:paraId="0A4E29C9" w14:textId="77777777" w:rsidR="00592FEF"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82.36%</w:t>
            </w:r>
          </w:p>
        </w:tc>
      </w:tr>
      <w:tr w:rsidR="00A01F98" w:rsidRPr="00362E11" w14:paraId="7D35D903" w14:textId="77777777" w:rsidTr="00A01F98">
        <w:tc>
          <w:tcPr>
            <w:tcW w:w="365" w:type="pct"/>
            <w:shd w:val="clear" w:color="auto" w:fill="auto"/>
            <w:tcMar>
              <w:top w:w="0" w:type="dxa"/>
              <w:bottom w:w="0" w:type="dxa"/>
            </w:tcMar>
            <w:vAlign w:val="center"/>
          </w:tcPr>
          <w:p w14:paraId="353E6EAD"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2</w:t>
            </w:r>
          </w:p>
        </w:tc>
        <w:tc>
          <w:tcPr>
            <w:tcW w:w="1493" w:type="pct"/>
            <w:shd w:val="clear" w:color="auto" w:fill="auto"/>
            <w:tcMar>
              <w:top w:w="0" w:type="dxa"/>
              <w:bottom w:w="0" w:type="dxa"/>
            </w:tcMar>
            <w:vAlign w:val="center"/>
          </w:tcPr>
          <w:p w14:paraId="3728A89B"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Profit after tax</w:t>
            </w:r>
          </w:p>
        </w:tc>
        <w:tc>
          <w:tcPr>
            <w:tcW w:w="701" w:type="pct"/>
            <w:shd w:val="clear" w:color="auto" w:fill="auto"/>
            <w:tcMar>
              <w:top w:w="0" w:type="dxa"/>
              <w:bottom w:w="0" w:type="dxa"/>
            </w:tcMar>
            <w:vAlign w:val="center"/>
          </w:tcPr>
          <w:p w14:paraId="2DD92045" w14:textId="46E2B198"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Million VND</w:t>
            </w:r>
          </w:p>
        </w:tc>
        <w:tc>
          <w:tcPr>
            <w:tcW w:w="993" w:type="pct"/>
            <w:shd w:val="clear" w:color="auto" w:fill="auto"/>
            <w:tcMar>
              <w:top w:w="0" w:type="dxa"/>
              <w:bottom w:w="0" w:type="dxa"/>
            </w:tcMar>
            <w:vAlign w:val="center"/>
          </w:tcPr>
          <w:p w14:paraId="7DB7C85C"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600</w:t>
            </w:r>
          </w:p>
        </w:tc>
        <w:tc>
          <w:tcPr>
            <w:tcW w:w="706" w:type="pct"/>
            <w:shd w:val="clear" w:color="auto" w:fill="auto"/>
            <w:tcMar>
              <w:top w:w="0" w:type="dxa"/>
              <w:bottom w:w="0" w:type="dxa"/>
            </w:tcMar>
            <w:vAlign w:val="center"/>
          </w:tcPr>
          <w:p w14:paraId="0E8E74B3"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10,763</w:t>
            </w:r>
          </w:p>
        </w:tc>
        <w:tc>
          <w:tcPr>
            <w:tcW w:w="741" w:type="pct"/>
            <w:shd w:val="clear" w:color="auto" w:fill="auto"/>
            <w:tcMar>
              <w:top w:w="0" w:type="dxa"/>
              <w:bottom w:w="0" w:type="dxa"/>
            </w:tcMar>
            <w:vAlign w:val="center"/>
          </w:tcPr>
          <w:p w14:paraId="0A1FB380"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1,793.83%</w:t>
            </w:r>
          </w:p>
        </w:tc>
      </w:tr>
      <w:tr w:rsidR="00A01F98" w:rsidRPr="00362E11" w14:paraId="1D9CDDD1" w14:textId="77777777" w:rsidTr="00A01F98">
        <w:tc>
          <w:tcPr>
            <w:tcW w:w="365" w:type="pct"/>
            <w:shd w:val="clear" w:color="auto" w:fill="auto"/>
            <w:tcMar>
              <w:top w:w="0" w:type="dxa"/>
              <w:bottom w:w="0" w:type="dxa"/>
            </w:tcMar>
            <w:vAlign w:val="center"/>
          </w:tcPr>
          <w:p w14:paraId="15D34C0B"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3</w:t>
            </w:r>
          </w:p>
        </w:tc>
        <w:tc>
          <w:tcPr>
            <w:tcW w:w="1493" w:type="pct"/>
            <w:shd w:val="clear" w:color="auto" w:fill="auto"/>
            <w:tcMar>
              <w:top w:w="0" w:type="dxa"/>
              <w:bottom w:w="0" w:type="dxa"/>
            </w:tcMar>
            <w:vAlign w:val="center"/>
          </w:tcPr>
          <w:p w14:paraId="6618F086"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Rate of profit after tax/owners’ equity</w:t>
            </w:r>
          </w:p>
        </w:tc>
        <w:tc>
          <w:tcPr>
            <w:tcW w:w="701" w:type="pct"/>
            <w:shd w:val="clear" w:color="auto" w:fill="auto"/>
            <w:tcMar>
              <w:top w:w="0" w:type="dxa"/>
              <w:bottom w:w="0" w:type="dxa"/>
            </w:tcMar>
            <w:vAlign w:val="center"/>
          </w:tcPr>
          <w:p w14:paraId="65D03D2A"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w:t>
            </w:r>
          </w:p>
        </w:tc>
        <w:tc>
          <w:tcPr>
            <w:tcW w:w="993" w:type="pct"/>
            <w:shd w:val="clear" w:color="auto" w:fill="auto"/>
            <w:tcMar>
              <w:top w:w="0" w:type="dxa"/>
              <w:bottom w:w="0" w:type="dxa"/>
            </w:tcMar>
            <w:vAlign w:val="center"/>
          </w:tcPr>
          <w:p w14:paraId="00C75119"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0.53%</w:t>
            </w:r>
          </w:p>
        </w:tc>
        <w:tc>
          <w:tcPr>
            <w:tcW w:w="706" w:type="pct"/>
            <w:shd w:val="clear" w:color="auto" w:fill="auto"/>
            <w:tcMar>
              <w:top w:w="0" w:type="dxa"/>
              <w:bottom w:w="0" w:type="dxa"/>
            </w:tcMar>
            <w:vAlign w:val="center"/>
          </w:tcPr>
          <w:p w14:paraId="797EE194"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8.73%</w:t>
            </w:r>
          </w:p>
        </w:tc>
        <w:tc>
          <w:tcPr>
            <w:tcW w:w="741" w:type="pct"/>
            <w:shd w:val="clear" w:color="auto" w:fill="auto"/>
            <w:tcMar>
              <w:top w:w="0" w:type="dxa"/>
              <w:bottom w:w="0" w:type="dxa"/>
            </w:tcMar>
            <w:vAlign w:val="center"/>
          </w:tcPr>
          <w:p w14:paraId="13A0DF22"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1,897.83%</w:t>
            </w:r>
          </w:p>
        </w:tc>
      </w:tr>
      <w:tr w:rsidR="00A01F98" w:rsidRPr="00A01F98" w14:paraId="2DDFA96B" w14:textId="77777777" w:rsidTr="00A01F98">
        <w:tc>
          <w:tcPr>
            <w:tcW w:w="365" w:type="pct"/>
            <w:shd w:val="clear" w:color="auto" w:fill="auto"/>
            <w:tcMar>
              <w:top w:w="0" w:type="dxa"/>
              <w:bottom w:w="0" w:type="dxa"/>
            </w:tcMar>
            <w:vAlign w:val="center"/>
          </w:tcPr>
          <w:p w14:paraId="25F652D3"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4</w:t>
            </w:r>
          </w:p>
        </w:tc>
        <w:tc>
          <w:tcPr>
            <w:tcW w:w="1493" w:type="pct"/>
            <w:shd w:val="clear" w:color="auto" w:fill="auto"/>
            <w:tcMar>
              <w:top w:w="0" w:type="dxa"/>
              <w:bottom w:w="0" w:type="dxa"/>
            </w:tcMar>
            <w:vAlign w:val="center"/>
          </w:tcPr>
          <w:p w14:paraId="75D42F75"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Rate of profit after tax/charter capital</w:t>
            </w:r>
          </w:p>
        </w:tc>
        <w:tc>
          <w:tcPr>
            <w:tcW w:w="701" w:type="pct"/>
            <w:shd w:val="clear" w:color="auto" w:fill="auto"/>
            <w:tcMar>
              <w:top w:w="0" w:type="dxa"/>
              <w:bottom w:w="0" w:type="dxa"/>
            </w:tcMar>
            <w:vAlign w:val="center"/>
          </w:tcPr>
          <w:p w14:paraId="682D8E4B"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w:t>
            </w:r>
          </w:p>
        </w:tc>
        <w:tc>
          <w:tcPr>
            <w:tcW w:w="993" w:type="pct"/>
            <w:shd w:val="clear" w:color="auto" w:fill="auto"/>
            <w:tcMar>
              <w:top w:w="0" w:type="dxa"/>
              <w:bottom w:w="0" w:type="dxa"/>
            </w:tcMar>
            <w:vAlign w:val="center"/>
          </w:tcPr>
          <w:p w14:paraId="36B8B793"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0.12%</w:t>
            </w:r>
          </w:p>
        </w:tc>
        <w:tc>
          <w:tcPr>
            <w:tcW w:w="706" w:type="pct"/>
            <w:shd w:val="clear" w:color="auto" w:fill="auto"/>
            <w:tcMar>
              <w:top w:w="0" w:type="dxa"/>
              <w:bottom w:w="0" w:type="dxa"/>
            </w:tcMar>
            <w:vAlign w:val="center"/>
          </w:tcPr>
          <w:p w14:paraId="6767648E" w14:textId="77777777" w:rsidR="00A01F98" w:rsidRPr="00362E11"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2.14%</w:t>
            </w:r>
          </w:p>
        </w:tc>
        <w:tc>
          <w:tcPr>
            <w:tcW w:w="741" w:type="pct"/>
            <w:shd w:val="clear" w:color="auto" w:fill="auto"/>
            <w:tcMar>
              <w:top w:w="0" w:type="dxa"/>
              <w:bottom w:w="0" w:type="dxa"/>
            </w:tcMar>
            <w:vAlign w:val="center"/>
          </w:tcPr>
          <w:p w14:paraId="048999D8" w14:textId="77777777" w:rsidR="00A01F98"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sidRPr="00362E11">
              <w:rPr>
                <w:rFonts w:ascii="Arial" w:hAnsi="Arial"/>
                <w:sz w:val="20"/>
              </w:rPr>
              <w:t>1,783.33%</w:t>
            </w:r>
          </w:p>
        </w:tc>
      </w:tr>
    </w:tbl>
    <w:p w14:paraId="78733F51"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Report on activities of the Supervisory Board in 2023. </w:t>
      </w:r>
    </w:p>
    <w:p w14:paraId="7850F145"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Audited Financial Statements 2023 </w:t>
      </w:r>
    </w:p>
    <w:p w14:paraId="5444E52B"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Business plan for 2024, with the following main targets:</w:t>
      </w:r>
    </w:p>
    <w:p w14:paraId="72187B42" w14:textId="77777777"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Total revenue: VND 1,836,300 million (equal to 107.5% compared to that of 2023).</w:t>
      </w:r>
    </w:p>
    <w:p w14:paraId="303D8E9C" w14:textId="77777777"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Total expense: VND 1,825,500 million (equal to 107.5% compared to that of 2023).</w:t>
      </w:r>
    </w:p>
    <w:p w14:paraId="4494C56C" w14:textId="77777777" w:rsidR="00592FEF" w:rsidRPr="00A01F98" w:rsidRDefault="00A01F98" w:rsidP="00F8621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Profit before tax: VND 10,800 million (equal to 100.3% compared to that of 2023).</w:t>
      </w:r>
    </w:p>
    <w:p w14:paraId="1A669668"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Development investment plan in 2024:</w:t>
      </w:r>
    </w:p>
    <w:p w14:paraId="6CA4C2E9" w14:textId="77777777" w:rsidR="00592FEF" w:rsidRPr="00A01F98"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Development investment plan for 2024 (Plan for using fixed assets depreciation capital in 2024) is expected to be made as follows:</w:t>
      </w:r>
    </w:p>
    <w:p w14:paraId="07D64827" w14:textId="57F86991"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Source of capital for depreciation of fixed assets: VND 99,232.19 million.</w:t>
      </w:r>
    </w:p>
    <w:p w14:paraId="429ABC09" w14:textId="77777777"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Use plan: VND 98,904.08 million.</w:t>
      </w:r>
    </w:p>
    <w:p w14:paraId="452C8421" w14:textId="77777777"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Remaining amount for provision: VND 328.11 million.</w:t>
      </w:r>
    </w:p>
    <w:p w14:paraId="57D5BE2E" w14:textId="77777777" w:rsidR="00592FEF" w:rsidRPr="00A01F98"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lastRenderedPageBreak/>
        <w:t>Explanation: The amount of depreciation of fixed assets expected in 2024 will increase by about VND 25.3 billion compared to that of 2023 (due to the expiration of the five years allowing for the extension of depreciation of new investment wagons in the 2016-2017 period). The total amount of depreciation continues to be arranged to supplement the missing capital, repay the principal of investment projects that have been settled and completed from the 2020s onwards, so there is no more capital allocated for all new investment needs/proposals of the units. In the above usage plan, VND 20.9 billion is prioritized for new investment in a number of retail machinery and equipment that are really necessary for the units (VND 2.9 billion) and 02 projects to upgrade and renovate 10 passenger carriages (about VND 18 billion) to supplement high quality carriages to serve passengers.</w:t>
      </w:r>
    </w:p>
    <w:p w14:paraId="3DEDBC88"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hAnsi="Arial" w:cs="Arial"/>
          <w:sz w:val="20"/>
        </w:rPr>
      </w:pPr>
      <w:r>
        <w:rPr>
          <w:rFonts w:ascii="Arial" w:hAnsi="Arial"/>
          <w:sz w:val="20"/>
        </w:rPr>
        <w:t>Report on dividend payment in 2023 and plan for profit distribution and dividend payment in 2024:</w:t>
      </w:r>
    </w:p>
    <w:p w14:paraId="646694BB" w14:textId="285A73BB"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 xml:space="preserve">Profit distribution, appropriation for funds and dividend payment in 2023: Production and business activities results in 2023: The Company's profit is VND 10,763,160,661, the accumulated loss as of December 31, 2023 is VND 381,426,002,131. Pursuant to the provisions of Article 13 of the Company's Charter promulgated on April 27, 2021, the Company will not pay dividends in 2023 and will only pay dividends when all of the above losses are </w:t>
      </w:r>
      <w:r w:rsidR="00254C3F">
        <w:rPr>
          <w:rFonts w:ascii="Arial" w:hAnsi="Arial"/>
          <w:sz w:val="20"/>
        </w:rPr>
        <w:t>off</w:t>
      </w:r>
      <w:r>
        <w:rPr>
          <w:rFonts w:ascii="Arial" w:hAnsi="Arial"/>
          <w:sz w:val="20"/>
        </w:rPr>
        <w:t>set.</w:t>
      </w:r>
    </w:p>
    <w:p w14:paraId="4E64B648" w14:textId="47D03620" w:rsidR="00592FEF" w:rsidRPr="00A01F98" w:rsidRDefault="00A01F98" w:rsidP="00F86219">
      <w:pPr>
        <w:numPr>
          <w:ilvl w:val="0"/>
          <w:numId w:val="4"/>
        </w:numPr>
        <w:pBdr>
          <w:top w:val="nil"/>
          <w:left w:val="nil"/>
          <w:bottom w:val="nil"/>
          <w:right w:val="nil"/>
          <w:between w:val="nil"/>
        </w:pBdr>
        <w:tabs>
          <w:tab w:val="left" w:pos="432"/>
          <w:tab w:val="left" w:pos="3367"/>
        </w:tabs>
        <w:spacing w:after="120" w:line="360" w:lineRule="auto"/>
        <w:ind w:left="0" w:firstLine="0"/>
        <w:jc w:val="both"/>
        <w:rPr>
          <w:rFonts w:ascii="Arial" w:eastAsia="Arial" w:hAnsi="Arial" w:cs="Arial"/>
          <w:sz w:val="20"/>
          <w:szCs w:val="20"/>
        </w:rPr>
      </w:pPr>
      <w:r>
        <w:rPr>
          <w:rFonts w:ascii="Arial" w:hAnsi="Arial"/>
          <w:sz w:val="20"/>
        </w:rPr>
        <w:t xml:space="preserve">Plan for profit distribution and dividend payment in 2024: The Company's production and business plan in 2024 has a profit of VND 10,800,000,000. The planned profit is </w:t>
      </w:r>
      <w:r w:rsidR="00254C3F">
        <w:rPr>
          <w:rFonts w:ascii="Arial" w:hAnsi="Arial"/>
          <w:sz w:val="20"/>
        </w:rPr>
        <w:t>insufficient to offset</w:t>
      </w:r>
      <w:r>
        <w:rPr>
          <w:rFonts w:ascii="Arial" w:hAnsi="Arial"/>
          <w:sz w:val="20"/>
        </w:rPr>
        <w:t xml:space="preserve"> the accumulated loss of VND 381,426,002,131. Therefore, the Company has no plan for profit distribution and dividend payment in 2024.</w:t>
      </w:r>
    </w:p>
    <w:p w14:paraId="08B1B4A9"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Salary and remuneration of the Board of Directors and the Supervisory Board in 2023 and plan for 2024:</w:t>
      </w:r>
      <w:r>
        <w:rPr>
          <w:rFonts w:ascii="Arial" w:hAnsi="Arial"/>
          <w:sz w:val="20"/>
        </w:rPr>
        <w:tab/>
      </w:r>
    </w:p>
    <w:p w14:paraId="246C7C55" w14:textId="77777777" w:rsidR="00592FEF" w:rsidRPr="00A01F98"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Pursuant to Decree No. 53/2016/ND-CP dated June 13, 2016 of the Government and Circular No. 28/2016/TT-BLDTBXH dated September 1, 2016 of the Ministry of </w:t>
      </w:r>
      <w:proofErr w:type="spellStart"/>
      <w:r>
        <w:rPr>
          <w:rFonts w:ascii="Arial" w:hAnsi="Arial"/>
          <w:sz w:val="20"/>
        </w:rPr>
        <w:t>Labour</w:t>
      </w:r>
      <w:proofErr w:type="spellEnd"/>
      <w:r>
        <w:rPr>
          <w:rFonts w:ascii="Arial" w:hAnsi="Arial"/>
          <w:sz w:val="20"/>
        </w:rPr>
        <w:t xml:space="preserve"> – Invalids and Social Affairs, the Company determines the realized salary and remuneration of the Board of Directors and the Supervisory Board in 2023 and the plan in 2024 as follows:</w:t>
      </w:r>
    </w:p>
    <w:p w14:paraId="70EA808C" w14:textId="77777777" w:rsidR="00592FEF" w:rsidRPr="00A01F98" w:rsidRDefault="00A01F98" w:rsidP="00F8621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Realized salary and remuneration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9"/>
        <w:gridCol w:w="3870"/>
        <w:gridCol w:w="830"/>
        <w:gridCol w:w="1786"/>
        <w:gridCol w:w="1961"/>
      </w:tblGrid>
      <w:tr w:rsidR="00592FEF" w:rsidRPr="00A01F98" w14:paraId="542224B9" w14:textId="77777777" w:rsidTr="00A01F98">
        <w:tc>
          <w:tcPr>
            <w:tcW w:w="331" w:type="pct"/>
            <w:shd w:val="clear" w:color="auto" w:fill="auto"/>
            <w:tcMar>
              <w:top w:w="0" w:type="dxa"/>
              <w:bottom w:w="0" w:type="dxa"/>
            </w:tcMar>
            <w:vAlign w:val="center"/>
          </w:tcPr>
          <w:p w14:paraId="6F52797C"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139" w:type="pct"/>
            <w:shd w:val="clear" w:color="auto" w:fill="auto"/>
            <w:tcMar>
              <w:top w:w="0" w:type="dxa"/>
              <w:bottom w:w="0" w:type="dxa"/>
            </w:tcMar>
            <w:vAlign w:val="center"/>
          </w:tcPr>
          <w:p w14:paraId="4A0B895A"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459" w:type="pct"/>
            <w:shd w:val="clear" w:color="auto" w:fill="auto"/>
            <w:tcMar>
              <w:top w:w="0" w:type="dxa"/>
              <w:bottom w:w="0" w:type="dxa"/>
            </w:tcMar>
            <w:vAlign w:val="center"/>
          </w:tcPr>
          <w:p w14:paraId="37A10C8D"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persons</w:t>
            </w:r>
          </w:p>
        </w:tc>
        <w:tc>
          <w:tcPr>
            <w:tcW w:w="987" w:type="pct"/>
            <w:shd w:val="clear" w:color="auto" w:fill="auto"/>
            <w:tcMar>
              <w:top w:w="0" w:type="dxa"/>
              <w:bottom w:w="0" w:type="dxa"/>
            </w:tcMar>
            <w:vAlign w:val="center"/>
          </w:tcPr>
          <w:p w14:paraId="386B424F"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Realized salary and remuneration in 2023</w:t>
            </w:r>
          </w:p>
        </w:tc>
        <w:tc>
          <w:tcPr>
            <w:tcW w:w="1084" w:type="pct"/>
            <w:shd w:val="clear" w:color="auto" w:fill="auto"/>
            <w:tcMar>
              <w:top w:w="0" w:type="dxa"/>
              <w:bottom w:w="0" w:type="dxa"/>
            </w:tcMar>
            <w:vAlign w:val="center"/>
          </w:tcPr>
          <w:p w14:paraId="05DB9650"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Realized salary and remuneration fund in 2023</w:t>
            </w:r>
          </w:p>
        </w:tc>
      </w:tr>
      <w:tr w:rsidR="00592FEF" w:rsidRPr="00A01F98" w14:paraId="530D5F7D" w14:textId="77777777" w:rsidTr="00A01F98">
        <w:tc>
          <w:tcPr>
            <w:tcW w:w="331" w:type="pct"/>
            <w:shd w:val="clear" w:color="auto" w:fill="auto"/>
            <w:tcMar>
              <w:top w:w="0" w:type="dxa"/>
              <w:bottom w:w="0" w:type="dxa"/>
            </w:tcMar>
            <w:vAlign w:val="center"/>
          </w:tcPr>
          <w:p w14:paraId="3CE7A6BF"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w:t>
            </w:r>
          </w:p>
        </w:tc>
        <w:tc>
          <w:tcPr>
            <w:tcW w:w="2139" w:type="pct"/>
            <w:shd w:val="clear" w:color="auto" w:fill="auto"/>
            <w:tcMar>
              <w:top w:w="0" w:type="dxa"/>
              <w:bottom w:w="0" w:type="dxa"/>
            </w:tcMar>
            <w:vAlign w:val="center"/>
          </w:tcPr>
          <w:p w14:paraId="1DF4C98D" w14:textId="1CA84889"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of Directors</w:t>
            </w:r>
          </w:p>
        </w:tc>
        <w:tc>
          <w:tcPr>
            <w:tcW w:w="459" w:type="pct"/>
            <w:shd w:val="clear" w:color="auto" w:fill="auto"/>
            <w:tcMar>
              <w:top w:w="0" w:type="dxa"/>
              <w:bottom w:w="0" w:type="dxa"/>
            </w:tcMar>
            <w:vAlign w:val="center"/>
          </w:tcPr>
          <w:p w14:paraId="52E4E9BB"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987" w:type="pct"/>
            <w:shd w:val="clear" w:color="auto" w:fill="auto"/>
            <w:tcMar>
              <w:top w:w="0" w:type="dxa"/>
              <w:bottom w:w="0" w:type="dxa"/>
            </w:tcMar>
            <w:vAlign w:val="center"/>
          </w:tcPr>
          <w:p w14:paraId="32E79E06"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1084" w:type="pct"/>
            <w:shd w:val="clear" w:color="auto" w:fill="auto"/>
            <w:tcMar>
              <w:top w:w="0" w:type="dxa"/>
              <w:bottom w:w="0" w:type="dxa"/>
            </w:tcMar>
            <w:vAlign w:val="center"/>
          </w:tcPr>
          <w:p w14:paraId="7AA62604"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1,204,800,000</w:t>
            </w:r>
          </w:p>
        </w:tc>
      </w:tr>
      <w:tr w:rsidR="00592FEF" w:rsidRPr="00A01F98" w14:paraId="0F995CA2" w14:textId="77777777" w:rsidTr="00A01F98">
        <w:tc>
          <w:tcPr>
            <w:tcW w:w="331" w:type="pct"/>
            <w:shd w:val="clear" w:color="auto" w:fill="auto"/>
            <w:tcMar>
              <w:top w:w="0" w:type="dxa"/>
              <w:bottom w:w="0" w:type="dxa"/>
            </w:tcMar>
            <w:vAlign w:val="center"/>
          </w:tcPr>
          <w:p w14:paraId="431517F3"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39" w:type="pct"/>
            <w:shd w:val="clear" w:color="auto" w:fill="auto"/>
            <w:tcMar>
              <w:top w:w="0" w:type="dxa"/>
              <w:bottom w:w="0" w:type="dxa"/>
            </w:tcMar>
            <w:vAlign w:val="center"/>
          </w:tcPr>
          <w:p w14:paraId="1B44A171"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(Capital representative)</w:t>
            </w:r>
          </w:p>
        </w:tc>
        <w:tc>
          <w:tcPr>
            <w:tcW w:w="459" w:type="pct"/>
            <w:shd w:val="clear" w:color="auto" w:fill="auto"/>
            <w:tcMar>
              <w:top w:w="0" w:type="dxa"/>
              <w:bottom w:w="0" w:type="dxa"/>
            </w:tcMar>
            <w:vAlign w:val="center"/>
          </w:tcPr>
          <w:p w14:paraId="32F22F90"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7" w:type="pct"/>
            <w:shd w:val="clear" w:color="auto" w:fill="auto"/>
            <w:tcMar>
              <w:top w:w="0" w:type="dxa"/>
              <w:bottom w:w="0" w:type="dxa"/>
            </w:tcMar>
            <w:vAlign w:val="center"/>
          </w:tcPr>
          <w:p w14:paraId="1017740B"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27,000,000</w:t>
            </w:r>
          </w:p>
        </w:tc>
        <w:tc>
          <w:tcPr>
            <w:tcW w:w="1084" w:type="pct"/>
            <w:shd w:val="clear" w:color="auto" w:fill="auto"/>
            <w:tcMar>
              <w:top w:w="0" w:type="dxa"/>
              <w:bottom w:w="0" w:type="dxa"/>
            </w:tcMar>
            <w:vAlign w:val="center"/>
          </w:tcPr>
          <w:p w14:paraId="6ECB7D78"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648,000,000</w:t>
            </w:r>
          </w:p>
        </w:tc>
      </w:tr>
      <w:tr w:rsidR="00592FEF" w:rsidRPr="00A01F98" w14:paraId="6AA65524" w14:textId="77777777" w:rsidTr="00A01F98">
        <w:tc>
          <w:tcPr>
            <w:tcW w:w="331" w:type="pct"/>
            <w:shd w:val="clear" w:color="auto" w:fill="auto"/>
            <w:tcMar>
              <w:top w:w="0" w:type="dxa"/>
              <w:bottom w:w="0" w:type="dxa"/>
            </w:tcMar>
            <w:vAlign w:val="center"/>
          </w:tcPr>
          <w:p w14:paraId="09836608"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39" w:type="pct"/>
            <w:shd w:val="clear" w:color="auto" w:fill="auto"/>
            <w:tcMar>
              <w:top w:w="0" w:type="dxa"/>
              <w:bottom w:w="0" w:type="dxa"/>
            </w:tcMar>
            <w:vAlign w:val="center"/>
          </w:tcPr>
          <w:p w14:paraId="10EDF6B5"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(not representing capital)</w:t>
            </w:r>
          </w:p>
        </w:tc>
        <w:tc>
          <w:tcPr>
            <w:tcW w:w="459" w:type="pct"/>
            <w:shd w:val="clear" w:color="auto" w:fill="auto"/>
            <w:tcMar>
              <w:top w:w="0" w:type="dxa"/>
              <w:bottom w:w="0" w:type="dxa"/>
            </w:tcMar>
            <w:vAlign w:val="center"/>
          </w:tcPr>
          <w:p w14:paraId="141E4144"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7" w:type="pct"/>
            <w:shd w:val="clear" w:color="auto" w:fill="auto"/>
            <w:tcMar>
              <w:top w:w="0" w:type="dxa"/>
              <w:bottom w:w="0" w:type="dxa"/>
            </w:tcMar>
            <w:vAlign w:val="center"/>
          </w:tcPr>
          <w:p w14:paraId="67BA9A6D"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23,200,000</w:t>
            </w:r>
          </w:p>
        </w:tc>
        <w:tc>
          <w:tcPr>
            <w:tcW w:w="1084" w:type="pct"/>
            <w:shd w:val="clear" w:color="auto" w:fill="auto"/>
            <w:tcMar>
              <w:top w:w="0" w:type="dxa"/>
              <w:bottom w:w="0" w:type="dxa"/>
            </w:tcMar>
            <w:vAlign w:val="center"/>
          </w:tcPr>
          <w:p w14:paraId="7CC347CC"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556,800,000</w:t>
            </w:r>
          </w:p>
        </w:tc>
      </w:tr>
      <w:tr w:rsidR="00592FEF" w:rsidRPr="00A01F98" w14:paraId="2569F10A" w14:textId="77777777" w:rsidTr="00A01F98">
        <w:tc>
          <w:tcPr>
            <w:tcW w:w="331" w:type="pct"/>
            <w:shd w:val="clear" w:color="auto" w:fill="auto"/>
            <w:tcMar>
              <w:top w:w="0" w:type="dxa"/>
              <w:bottom w:w="0" w:type="dxa"/>
            </w:tcMar>
            <w:vAlign w:val="center"/>
          </w:tcPr>
          <w:p w14:paraId="0A1D45FC"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II</w:t>
            </w:r>
          </w:p>
        </w:tc>
        <w:tc>
          <w:tcPr>
            <w:tcW w:w="2139" w:type="pct"/>
            <w:shd w:val="clear" w:color="auto" w:fill="auto"/>
            <w:tcMar>
              <w:top w:w="0" w:type="dxa"/>
              <w:bottom w:w="0" w:type="dxa"/>
            </w:tcMar>
            <w:vAlign w:val="center"/>
          </w:tcPr>
          <w:p w14:paraId="20128A59"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Supervisory Board</w:t>
            </w:r>
          </w:p>
        </w:tc>
        <w:tc>
          <w:tcPr>
            <w:tcW w:w="459" w:type="pct"/>
            <w:shd w:val="clear" w:color="auto" w:fill="auto"/>
            <w:tcMar>
              <w:top w:w="0" w:type="dxa"/>
              <w:bottom w:w="0" w:type="dxa"/>
            </w:tcMar>
            <w:vAlign w:val="center"/>
          </w:tcPr>
          <w:p w14:paraId="02523BD9"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987" w:type="pct"/>
            <w:shd w:val="clear" w:color="auto" w:fill="auto"/>
            <w:tcMar>
              <w:top w:w="0" w:type="dxa"/>
              <w:bottom w:w="0" w:type="dxa"/>
            </w:tcMar>
            <w:vAlign w:val="center"/>
          </w:tcPr>
          <w:p w14:paraId="27CE9A32"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1084" w:type="pct"/>
            <w:shd w:val="clear" w:color="auto" w:fill="auto"/>
            <w:tcMar>
              <w:top w:w="0" w:type="dxa"/>
              <w:bottom w:w="0" w:type="dxa"/>
            </w:tcMar>
            <w:vAlign w:val="center"/>
          </w:tcPr>
          <w:p w14:paraId="3BFE4A02"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326,400,000</w:t>
            </w:r>
          </w:p>
        </w:tc>
      </w:tr>
      <w:tr w:rsidR="00592FEF" w:rsidRPr="00A01F98" w14:paraId="7397B7FF" w14:textId="77777777" w:rsidTr="00A01F98">
        <w:tc>
          <w:tcPr>
            <w:tcW w:w="331" w:type="pct"/>
            <w:shd w:val="clear" w:color="auto" w:fill="auto"/>
            <w:tcMar>
              <w:top w:w="0" w:type="dxa"/>
              <w:bottom w:w="0" w:type="dxa"/>
            </w:tcMar>
            <w:vAlign w:val="center"/>
          </w:tcPr>
          <w:p w14:paraId="6C50DCF4"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39" w:type="pct"/>
            <w:shd w:val="clear" w:color="auto" w:fill="auto"/>
            <w:tcMar>
              <w:top w:w="0" w:type="dxa"/>
              <w:bottom w:w="0" w:type="dxa"/>
            </w:tcMar>
            <w:vAlign w:val="center"/>
          </w:tcPr>
          <w:p w14:paraId="7539720D"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459" w:type="pct"/>
            <w:shd w:val="clear" w:color="auto" w:fill="auto"/>
            <w:tcMar>
              <w:top w:w="0" w:type="dxa"/>
              <w:bottom w:w="0" w:type="dxa"/>
            </w:tcMar>
            <w:vAlign w:val="center"/>
          </w:tcPr>
          <w:p w14:paraId="37D94ED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987" w:type="pct"/>
            <w:shd w:val="clear" w:color="auto" w:fill="auto"/>
            <w:tcMar>
              <w:top w:w="0" w:type="dxa"/>
              <w:bottom w:w="0" w:type="dxa"/>
            </w:tcMar>
            <w:vAlign w:val="center"/>
          </w:tcPr>
          <w:p w14:paraId="26B25A29"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23,200,000</w:t>
            </w:r>
          </w:p>
        </w:tc>
        <w:tc>
          <w:tcPr>
            <w:tcW w:w="1084" w:type="pct"/>
            <w:shd w:val="clear" w:color="auto" w:fill="auto"/>
            <w:tcMar>
              <w:top w:w="0" w:type="dxa"/>
              <w:bottom w:w="0" w:type="dxa"/>
            </w:tcMar>
            <w:vAlign w:val="center"/>
          </w:tcPr>
          <w:p w14:paraId="23399862"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278,400,000</w:t>
            </w:r>
          </w:p>
        </w:tc>
      </w:tr>
      <w:tr w:rsidR="00592FEF" w:rsidRPr="00A01F98" w14:paraId="3A4F28D2" w14:textId="77777777" w:rsidTr="00A01F98">
        <w:tc>
          <w:tcPr>
            <w:tcW w:w="331" w:type="pct"/>
            <w:shd w:val="clear" w:color="auto" w:fill="auto"/>
            <w:tcMar>
              <w:top w:w="0" w:type="dxa"/>
              <w:bottom w:w="0" w:type="dxa"/>
            </w:tcMar>
            <w:vAlign w:val="center"/>
          </w:tcPr>
          <w:p w14:paraId="1E7AAE05"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39" w:type="pct"/>
            <w:shd w:val="clear" w:color="auto" w:fill="auto"/>
            <w:tcMar>
              <w:top w:w="0" w:type="dxa"/>
              <w:bottom w:w="0" w:type="dxa"/>
            </w:tcMar>
            <w:vAlign w:val="center"/>
          </w:tcPr>
          <w:p w14:paraId="6372BD5F"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Supervisor (*)</w:t>
            </w:r>
          </w:p>
        </w:tc>
        <w:tc>
          <w:tcPr>
            <w:tcW w:w="459" w:type="pct"/>
            <w:shd w:val="clear" w:color="auto" w:fill="auto"/>
            <w:tcMar>
              <w:top w:w="0" w:type="dxa"/>
              <w:bottom w:w="0" w:type="dxa"/>
            </w:tcMar>
            <w:vAlign w:val="center"/>
          </w:tcPr>
          <w:p w14:paraId="43D7D142"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7" w:type="pct"/>
            <w:shd w:val="clear" w:color="auto" w:fill="auto"/>
            <w:tcMar>
              <w:top w:w="0" w:type="dxa"/>
              <w:bottom w:w="0" w:type="dxa"/>
            </w:tcMar>
            <w:vAlign w:val="center"/>
          </w:tcPr>
          <w:p w14:paraId="4983B275"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2,000,000</w:t>
            </w:r>
          </w:p>
        </w:tc>
        <w:tc>
          <w:tcPr>
            <w:tcW w:w="1084" w:type="pct"/>
            <w:shd w:val="clear" w:color="auto" w:fill="auto"/>
            <w:tcMar>
              <w:top w:w="0" w:type="dxa"/>
              <w:bottom w:w="0" w:type="dxa"/>
            </w:tcMar>
            <w:vAlign w:val="center"/>
          </w:tcPr>
          <w:p w14:paraId="5C621868"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48,000,000</w:t>
            </w:r>
          </w:p>
        </w:tc>
      </w:tr>
      <w:tr w:rsidR="00592FEF" w:rsidRPr="00A01F98" w14:paraId="28A6193F" w14:textId="77777777" w:rsidTr="00A01F98">
        <w:tc>
          <w:tcPr>
            <w:tcW w:w="331" w:type="pct"/>
            <w:shd w:val="clear" w:color="auto" w:fill="auto"/>
            <w:tcMar>
              <w:top w:w="0" w:type="dxa"/>
              <w:bottom w:w="0" w:type="dxa"/>
            </w:tcMar>
            <w:vAlign w:val="center"/>
          </w:tcPr>
          <w:p w14:paraId="09DDCE5E"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39" w:type="pct"/>
            <w:shd w:val="clear" w:color="auto" w:fill="auto"/>
            <w:tcMar>
              <w:top w:w="0" w:type="dxa"/>
              <w:bottom w:w="0" w:type="dxa"/>
            </w:tcMar>
            <w:vAlign w:val="center"/>
          </w:tcPr>
          <w:p w14:paraId="1D42A9F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(I+II)</w:t>
            </w:r>
          </w:p>
        </w:tc>
        <w:tc>
          <w:tcPr>
            <w:tcW w:w="459" w:type="pct"/>
            <w:shd w:val="clear" w:color="auto" w:fill="auto"/>
            <w:tcMar>
              <w:top w:w="0" w:type="dxa"/>
              <w:bottom w:w="0" w:type="dxa"/>
            </w:tcMar>
            <w:vAlign w:val="center"/>
          </w:tcPr>
          <w:p w14:paraId="217F3CF4"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987" w:type="pct"/>
            <w:shd w:val="clear" w:color="auto" w:fill="auto"/>
            <w:tcMar>
              <w:top w:w="0" w:type="dxa"/>
              <w:bottom w:w="0" w:type="dxa"/>
            </w:tcMar>
            <w:vAlign w:val="center"/>
          </w:tcPr>
          <w:p w14:paraId="29521669"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1084" w:type="pct"/>
            <w:shd w:val="clear" w:color="auto" w:fill="auto"/>
            <w:tcMar>
              <w:top w:w="0" w:type="dxa"/>
              <w:bottom w:w="0" w:type="dxa"/>
            </w:tcMar>
            <w:vAlign w:val="center"/>
          </w:tcPr>
          <w:p w14:paraId="4D3295B5"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1,531,200,000</w:t>
            </w:r>
          </w:p>
        </w:tc>
      </w:tr>
    </w:tbl>
    <w:p w14:paraId="07234D39" w14:textId="77777777" w:rsidR="00592FEF" w:rsidRPr="00A01F98" w:rsidRDefault="00A01F98" w:rsidP="00F8621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Planned salary and remuneration for 2024:</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935"/>
        <w:gridCol w:w="863"/>
        <w:gridCol w:w="1778"/>
        <w:gridCol w:w="1939"/>
      </w:tblGrid>
      <w:tr w:rsidR="00592FEF" w:rsidRPr="00A01F98" w14:paraId="5543BBAA" w14:textId="77777777" w:rsidTr="00A01F98">
        <w:tc>
          <w:tcPr>
            <w:tcW w:w="293" w:type="pct"/>
            <w:shd w:val="clear" w:color="auto" w:fill="auto"/>
            <w:tcMar>
              <w:top w:w="0" w:type="dxa"/>
              <w:bottom w:w="0" w:type="dxa"/>
            </w:tcMar>
            <w:vAlign w:val="center"/>
          </w:tcPr>
          <w:p w14:paraId="7056342F"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175" w:type="pct"/>
            <w:shd w:val="clear" w:color="auto" w:fill="auto"/>
            <w:tcMar>
              <w:top w:w="0" w:type="dxa"/>
              <w:bottom w:w="0" w:type="dxa"/>
            </w:tcMar>
            <w:vAlign w:val="center"/>
          </w:tcPr>
          <w:p w14:paraId="361CDCEC"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477" w:type="pct"/>
            <w:shd w:val="clear" w:color="auto" w:fill="auto"/>
            <w:tcMar>
              <w:top w:w="0" w:type="dxa"/>
              <w:bottom w:w="0" w:type="dxa"/>
            </w:tcMar>
            <w:vAlign w:val="center"/>
          </w:tcPr>
          <w:p w14:paraId="0C54084E"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persons</w:t>
            </w:r>
          </w:p>
        </w:tc>
        <w:tc>
          <w:tcPr>
            <w:tcW w:w="983" w:type="pct"/>
            <w:shd w:val="clear" w:color="auto" w:fill="auto"/>
            <w:tcMar>
              <w:top w:w="0" w:type="dxa"/>
              <w:bottom w:w="0" w:type="dxa"/>
            </w:tcMar>
            <w:vAlign w:val="center"/>
          </w:tcPr>
          <w:p w14:paraId="0ECF3F2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Planned salary and remuneration for 2024</w:t>
            </w:r>
          </w:p>
        </w:tc>
        <w:tc>
          <w:tcPr>
            <w:tcW w:w="1072" w:type="pct"/>
            <w:shd w:val="clear" w:color="auto" w:fill="auto"/>
            <w:tcMar>
              <w:top w:w="0" w:type="dxa"/>
              <w:bottom w:w="0" w:type="dxa"/>
            </w:tcMar>
            <w:vAlign w:val="center"/>
          </w:tcPr>
          <w:p w14:paraId="3FB6721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Planned salary and remuneration fund for 2024</w:t>
            </w:r>
          </w:p>
        </w:tc>
      </w:tr>
      <w:tr w:rsidR="00592FEF" w:rsidRPr="00A01F98" w14:paraId="1C5D3E7B" w14:textId="77777777" w:rsidTr="00A01F98">
        <w:tc>
          <w:tcPr>
            <w:tcW w:w="293" w:type="pct"/>
            <w:shd w:val="clear" w:color="auto" w:fill="auto"/>
            <w:tcMar>
              <w:top w:w="0" w:type="dxa"/>
              <w:bottom w:w="0" w:type="dxa"/>
            </w:tcMar>
            <w:vAlign w:val="center"/>
          </w:tcPr>
          <w:p w14:paraId="22834466"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w:t>
            </w:r>
          </w:p>
        </w:tc>
        <w:tc>
          <w:tcPr>
            <w:tcW w:w="2175" w:type="pct"/>
            <w:shd w:val="clear" w:color="auto" w:fill="auto"/>
            <w:tcMar>
              <w:top w:w="0" w:type="dxa"/>
              <w:bottom w:w="0" w:type="dxa"/>
            </w:tcMar>
            <w:vAlign w:val="center"/>
          </w:tcPr>
          <w:p w14:paraId="20E3B62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of Directors</w:t>
            </w:r>
          </w:p>
        </w:tc>
        <w:tc>
          <w:tcPr>
            <w:tcW w:w="477" w:type="pct"/>
            <w:shd w:val="clear" w:color="auto" w:fill="auto"/>
            <w:tcMar>
              <w:top w:w="0" w:type="dxa"/>
              <w:bottom w:w="0" w:type="dxa"/>
            </w:tcMar>
            <w:vAlign w:val="center"/>
          </w:tcPr>
          <w:p w14:paraId="5ACFB961"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983" w:type="pct"/>
            <w:shd w:val="clear" w:color="auto" w:fill="auto"/>
            <w:tcMar>
              <w:top w:w="0" w:type="dxa"/>
              <w:bottom w:w="0" w:type="dxa"/>
            </w:tcMar>
            <w:vAlign w:val="center"/>
          </w:tcPr>
          <w:p w14:paraId="6E079574"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1072" w:type="pct"/>
            <w:shd w:val="clear" w:color="auto" w:fill="auto"/>
            <w:tcMar>
              <w:top w:w="0" w:type="dxa"/>
              <w:bottom w:w="0" w:type="dxa"/>
            </w:tcMar>
            <w:vAlign w:val="center"/>
          </w:tcPr>
          <w:p w14:paraId="33FD6D77"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1,204,800,000</w:t>
            </w:r>
          </w:p>
        </w:tc>
      </w:tr>
      <w:tr w:rsidR="00592FEF" w:rsidRPr="00A01F98" w14:paraId="7A779E3B" w14:textId="77777777" w:rsidTr="00A01F98">
        <w:tc>
          <w:tcPr>
            <w:tcW w:w="293" w:type="pct"/>
            <w:shd w:val="clear" w:color="auto" w:fill="auto"/>
            <w:tcMar>
              <w:top w:w="0" w:type="dxa"/>
              <w:bottom w:w="0" w:type="dxa"/>
            </w:tcMar>
            <w:vAlign w:val="center"/>
          </w:tcPr>
          <w:p w14:paraId="4032BCC4"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75" w:type="pct"/>
            <w:shd w:val="clear" w:color="auto" w:fill="auto"/>
            <w:tcMar>
              <w:top w:w="0" w:type="dxa"/>
              <w:bottom w:w="0" w:type="dxa"/>
            </w:tcMar>
            <w:vAlign w:val="center"/>
          </w:tcPr>
          <w:p w14:paraId="75807B00"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(Capital representative)</w:t>
            </w:r>
          </w:p>
        </w:tc>
        <w:tc>
          <w:tcPr>
            <w:tcW w:w="477" w:type="pct"/>
            <w:shd w:val="clear" w:color="auto" w:fill="auto"/>
            <w:tcMar>
              <w:top w:w="0" w:type="dxa"/>
              <w:bottom w:w="0" w:type="dxa"/>
            </w:tcMar>
            <w:vAlign w:val="center"/>
          </w:tcPr>
          <w:p w14:paraId="5CFB99FF"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3" w:type="pct"/>
            <w:shd w:val="clear" w:color="auto" w:fill="auto"/>
            <w:tcMar>
              <w:top w:w="0" w:type="dxa"/>
              <w:bottom w:w="0" w:type="dxa"/>
            </w:tcMar>
            <w:vAlign w:val="center"/>
          </w:tcPr>
          <w:p w14:paraId="3B4FB42A"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27,000,000</w:t>
            </w:r>
          </w:p>
        </w:tc>
        <w:tc>
          <w:tcPr>
            <w:tcW w:w="1072" w:type="pct"/>
            <w:shd w:val="clear" w:color="auto" w:fill="auto"/>
            <w:tcMar>
              <w:top w:w="0" w:type="dxa"/>
              <w:bottom w:w="0" w:type="dxa"/>
            </w:tcMar>
            <w:vAlign w:val="center"/>
          </w:tcPr>
          <w:p w14:paraId="7BBF71A4"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648,000,000</w:t>
            </w:r>
          </w:p>
        </w:tc>
      </w:tr>
      <w:tr w:rsidR="00592FEF" w:rsidRPr="00A01F98" w14:paraId="3251D0CD" w14:textId="77777777" w:rsidTr="00A01F98">
        <w:tc>
          <w:tcPr>
            <w:tcW w:w="293" w:type="pct"/>
            <w:shd w:val="clear" w:color="auto" w:fill="auto"/>
            <w:tcMar>
              <w:top w:w="0" w:type="dxa"/>
              <w:bottom w:w="0" w:type="dxa"/>
            </w:tcMar>
            <w:vAlign w:val="center"/>
          </w:tcPr>
          <w:p w14:paraId="59FE2ECD" w14:textId="77777777" w:rsidR="00592FEF" w:rsidRPr="00A01F98" w:rsidRDefault="00592FEF" w:rsidP="00A01F98">
            <w:pPr>
              <w:tabs>
                <w:tab w:val="left" w:pos="432"/>
              </w:tabs>
              <w:spacing w:after="120" w:line="360" w:lineRule="auto"/>
              <w:rPr>
                <w:rFonts w:ascii="Arial" w:eastAsia="Arial" w:hAnsi="Arial" w:cs="Arial"/>
                <w:sz w:val="20"/>
                <w:szCs w:val="20"/>
              </w:rPr>
            </w:pPr>
          </w:p>
        </w:tc>
        <w:tc>
          <w:tcPr>
            <w:tcW w:w="2175" w:type="pct"/>
            <w:shd w:val="clear" w:color="auto" w:fill="auto"/>
            <w:tcMar>
              <w:top w:w="0" w:type="dxa"/>
              <w:bottom w:w="0" w:type="dxa"/>
            </w:tcMar>
            <w:vAlign w:val="center"/>
          </w:tcPr>
          <w:p w14:paraId="07564192"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(not representing capital)</w:t>
            </w:r>
          </w:p>
        </w:tc>
        <w:tc>
          <w:tcPr>
            <w:tcW w:w="477" w:type="pct"/>
            <w:shd w:val="clear" w:color="auto" w:fill="auto"/>
            <w:tcMar>
              <w:top w:w="0" w:type="dxa"/>
              <w:bottom w:w="0" w:type="dxa"/>
            </w:tcMar>
            <w:vAlign w:val="center"/>
          </w:tcPr>
          <w:p w14:paraId="131E4260"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3" w:type="pct"/>
            <w:shd w:val="clear" w:color="auto" w:fill="auto"/>
            <w:tcMar>
              <w:top w:w="0" w:type="dxa"/>
              <w:bottom w:w="0" w:type="dxa"/>
            </w:tcMar>
            <w:vAlign w:val="center"/>
          </w:tcPr>
          <w:p w14:paraId="0AE52988"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23,200,000</w:t>
            </w:r>
          </w:p>
        </w:tc>
        <w:tc>
          <w:tcPr>
            <w:tcW w:w="1072" w:type="pct"/>
            <w:shd w:val="clear" w:color="auto" w:fill="auto"/>
            <w:tcMar>
              <w:top w:w="0" w:type="dxa"/>
              <w:bottom w:w="0" w:type="dxa"/>
            </w:tcMar>
            <w:vAlign w:val="center"/>
          </w:tcPr>
          <w:p w14:paraId="1476F2EB" w14:textId="77777777" w:rsidR="00592FEF" w:rsidRPr="00A01F98" w:rsidRDefault="00A01F98" w:rsidP="00A01F9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556,800,000</w:t>
            </w:r>
          </w:p>
        </w:tc>
      </w:tr>
      <w:tr w:rsidR="00A01F98" w:rsidRPr="00A01F98" w14:paraId="1964348E" w14:textId="77777777" w:rsidTr="00A01F98">
        <w:tblPrEx>
          <w:tblLook w:val="04A0" w:firstRow="1" w:lastRow="0" w:firstColumn="1" w:lastColumn="0" w:noHBand="0" w:noVBand="1"/>
        </w:tblPrEx>
        <w:tc>
          <w:tcPr>
            <w:tcW w:w="293" w:type="pct"/>
          </w:tcPr>
          <w:p w14:paraId="1441206C"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II</w:t>
            </w:r>
          </w:p>
        </w:tc>
        <w:tc>
          <w:tcPr>
            <w:tcW w:w="2175" w:type="pct"/>
          </w:tcPr>
          <w:p w14:paraId="21859E96"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Supervisory Board</w:t>
            </w:r>
          </w:p>
        </w:tc>
        <w:tc>
          <w:tcPr>
            <w:tcW w:w="477" w:type="pct"/>
          </w:tcPr>
          <w:p w14:paraId="1E21A1AF"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983" w:type="pct"/>
          </w:tcPr>
          <w:p w14:paraId="0B446B1A"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1072" w:type="pct"/>
          </w:tcPr>
          <w:p w14:paraId="5ACD8495"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326,400,000</w:t>
            </w:r>
          </w:p>
        </w:tc>
      </w:tr>
      <w:tr w:rsidR="00A01F98" w:rsidRPr="00A01F98" w14:paraId="0425FFC6" w14:textId="77777777" w:rsidTr="00A01F98">
        <w:tblPrEx>
          <w:tblLook w:val="04A0" w:firstRow="1" w:lastRow="0" w:firstColumn="1" w:lastColumn="0" w:noHBand="0" w:noVBand="1"/>
        </w:tblPrEx>
        <w:tc>
          <w:tcPr>
            <w:tcW w:w="293" w:type="pct"/>
          </w:tcPr>
          <w:p w14:paraId="3440D8B2"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2175" w:type="pct"/>
          </w:tcPr>
          <w:p w14:paraId="36C5E57A"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477" w:type="pct"/>
          </w:tcPr>
          <w:p w14:paraId="610157BA"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983" w:type="pct"/>
          </w:tcPr>
          <w:p w14:paraId="0B8F75AE"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23,200,000</w:t>
            </w:r>
          </w:p>
        </w:tc>
        <w:tc>
          <w:tcPr>
            <w:tcW w:w="1072" w:type="pct"/>
          </w:tcPr>
          <w:p w14:paraId="19A25866"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278,400,000</w:t>
            </w:r>
          </w:p>
        </w:tc>
      </w:tr>
      <w:tr w:rsidR="00A01F98" w:rsidRPr="00A01F98" w14:paraId="7309E090" w14:textId="77777777" w:rsidTr="00A01F98">
        <w:tblPrEx>
          <w:tblLook w:val="04A0" w:firstRow="1" w:lastRow="0" w:firstColumn="1" w:lastColumn="0" w:noHBand="0" w:noVBand="1"/>
        </w:tblPrEx>
        <w:tc>
          <w:tcPr>
            <w:tcW w:w="293" w:type="pct"/>
          </w:tcPr>
          <w:p w14:paraId="40D203AE"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2175" w:type="pct"/>
          </w:tcPr>
          <w:p w14:paraId="53E3FF41"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Supervisor</w:t>
            </w:r>
          </w:p>
        </w:tc>
        <w:tc>
          <w:tcPr>
            <w:tcW w:w="477" w:type="pct"/>
          </w:tcPr>
          <w:p w14:paraId="6CC440AB"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83" w:type="pct"/>
          </w:tcPr>
          <w:p w14:paraId="3FF1DB14"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2,000,000</w:t>
            </w:r>
          </w:p>
        </w:tc>
        <w:tc>
          <w:tcPr>
            <w:tcW w:w="1072" w:type="pct"/>
          </w:tcPr>
          <w:p w14:paraId="3C6E6AF4"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48,000,000</w:t>
            </w:r>
          </w:p>
        </w:tc>
      </w:tr>
      <w:tr w:rsidR="00A01F98" w:rsidRPr="00A01F98" w14:paraId="6C966EF0" w14:textId="77777777" w:rsidTr="00A01F98">
        <w:tblPrEx>
          <w:tblLook w:val="04A0" w:firstRow="1" w:lastRow="0" w:firstColumn="1" w:lastColumn="0" w:noHBand="0" w:noVBand="1"/>
        </w:tblPrEx>
        <w:tc>
          <w:tcPr>
            <w:tcW w:w="293" w:type="pct"/>
          </w:tcPr>
          <w:p w14:paraId="5CF8F0EB"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2175" w:type="pct"/>
          </w:tcPr>
          <w:p w14:paraId="553F43E8"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w:t>
            </w:r>
            <w:proofErr w:type="spellStart"/>
            <w:r>
              <w:rPr>
                <w:rFonts w:ascii="Arial" w:hAnsi="Arial"/>
                <w:sz w:val="20"/>
              </w:rPr>
              <w:t>I+Il</w:t>
            </w:r>
            <w:proofErr w:type="spellEnd"/>
            <w:r>
              <w:rPr>
                <w:rFonts w:ascii="Arial" w:hAnsi="Arial"/>
                <w:sz w:val="20"/>
              </w:rPr>
              <w:t>)</w:t>
            </w:r>
          </w:p>
        </w:tc>
        <w:tc>
          <w:tcPr>
            <w:tcW w:w="477" w:type="pct"/>
          </w:tcPr>
          <w:p w14:paraId="771D01A1"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983" w:type="pct"/>
          </w:tcPr>
          <w:p w14:paraId="2ED48256" w14:textId="77777777" w:rsidR="00A01F98" w:rsidRPr="00A01F98" w:rsidRDefault="00A01F98" w:rsidP="00CF5AF6">
            <w:pPr>
              <w:tabs>
                <w:tab w:val="left" w:pos="432"/>
              </w:tabs>
              <w:spacing w:after="120" w:line="360" w:lineRule="auto"/>
              <w:rPr>
                <w:rFonts w:ascii="Arial" w:eastAsia="Arial" w:hAnsi="Arial" w:cs="Arial"/>
                <w:sz w:val="20"/>
                <w:szCs w:val="20"/>
              </w:rPr>
            </w:pPr>
          </w:p>
        </w:tc>
        <w:tc>
          <w:tcPr>
            <w:tcW w:w="1072" w:type="pct"/>
          </w:tcPr>
          <w:p w14:paraId="2998F908" w14:textId="77777777" w:rsidR="00A01F98" w:rsidRPr="00A01F98" w:rsidRDefault="00A01F98" w:rsidP="00CF5AF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1,531,200,000</w:t>
            </w:r>
          </w:p>
        </w:tc>
      </w:tr>
    </w:tbl>
    <w:p w14:paraId="4771D73B"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Authorize the Board of Directors to select an audit company from the following list to audit and review the Financial Statements 2024 in accordance with the order and procedures prescribed by current law:</w:t>
      </w:r>
    </w:p>
    <w:p w14:paraId="755AD0EA" w14:textId="77777777" w:rsidR="00592FEF" w:rsidRPr="00A01F98"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VACO Auditing Company Limited.</w:t>
      </w:r>
    </w:p>
    <w:p w14:paraId="380DA316" w14:textId="77777777" w:rsidR="00592FEF" w:rsidRPr="00A01F98"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AASC Auditing Firm Company Limited.</w:t>
      </w:r>
    </w:p>
    <w:p w14:paraId="7E36430D" w14:textId="77777777" w:rsidR="00592FEF" w:rsidRPr="00A01F98"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Nam Viet Auditing and Accounting Financial Consulting Services </w:t>
      </w:r>
      <w:proofErr w:type="spellStart"/>
      <w:r>
        <w:rPr>
          <w:rFonts w:ascii="Arial" w:hAnsi="Arial"/>
          <w:sz w:val="20"/>
        </w:rPr>
        <w:t>Co.</w:t>
      </w:r>
      <w:proofErr w:type="gramStart"/>
      <w:r>
        <w:rPr>
          <w:rFonts w:ascii="Arial" w:hAnsi="Arial"/>
          <w:sz w:val="20"/>
        </w:rPr>
        <w:t>,Ltd</w:t>
      </w:r>
      <w:proofErr w:type="spellEnd"/>
      <w:proofErr w:type="gramEnd"/>
      <w:r>
        <w:rPr>
          <w:rFonts w:ascii="Arial" w:hAnsi="Arial"/>
          <w:sz w:val="20"/>
        </w:rPr>
        <w:t>.</w:t>
      </w:r>
    </w:p>
    <w:p w14:paraId="02B7558B" w14:textId="77777777" w:rsidR="00592FEF" w:rsidRPr="00A01F98"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UHY Auditing &amp; Consulting Company Limited.</w:t>
      </w:r>
    </w:p>
    <w:p w14:paraId="4E5966E0" w14:textId="77777777" w:rsidR="00592FEF" w:rsidRPr="00A01F98" w:rsidRDefault="00A01F98" w:rsidP="00F86219">
      <w:pPr>
        <w:numPr>
          <w:ilvl w:val="0"/>
          <w:numId w:val="1"/>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Approve the contents related to the merger of 02 companies, Hanoi Railway Transport Joint Stock Company and Saigon Railway Transport Joint Stock Company, including:</w:t>
      </w:r>
    </w:p>
    <w:p w14:paraId="56CC6DC0" w14:textId="1CED6908" w:rsidR="00592FEF" w:rsidRPr="00A01F98" w:rsidRDefault="00A01F98" w:rsidP="00F86219">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 xml:space="preserve">9.1 Consolidation plan </w:t>
      </w:r>
    </w:p>
    <w:p w14:paraId="7B9B4F70" w14:textId="77777777" w:rsidR="00592FEF" w:rsidRPr="00A01F98" w:rsidRDefault="00A01F98" w:rsidP="00F86219">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Plan to issue shares for swap</w:t>
      </w:r>
    </w:p>
    <w:p w14:paraId="10438316" w14:textId="7EF3706E" w:rsidR="00592FEF" w:rsidRPr="00DD02C3" w:rsidRDefault="00A01F98" w:rsidP="00DD02C3">
      <w:p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bookmarkStart w:id="0" w:name="_GoBack"/>
      <w:bookmarkEnd w:id="0"/>
      <w:r w:rsidRPr="00DD02C3">
        <w:rPr>
          <w:rFonts w:ascii="Arial" w:hAnsi="Arial"/>
          <w:i/>
          <w:sz w:val="20"/>
        </w:rPr>
        <w:t>Plan to issue shares to carry out business consolidation</w:t>
      </w:r>
    </w:p>
    <w:p w14:paraId="09089F2A" w14:textId="724CEA2F"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 xml:space="preserve">Name of Issuer: </w:t>
      </w:r>
      <w:proofErr w:type="spellStart"/>
      <w:r w:rsidRPr="00DD02C3">
        <w:rPr>
          <w:rFonts w:ascii="Arial" w:hAnsi="Arial"/>
          <w:i/>
          <w:sz w:val="20"/>
        </w:rPr>
        <w:t>Công</w:t>
      </w:r>
      <w:proofErr w:type="spellEnd"/>
      <w:r w:rsidRPr="00DD02C3">
        <w:rPr>
          <w:rFonts w:ascii="Arial" w:hAnsi="Arial"/>
          <w:i/>
          <w:sz w:val="20"/>
        </w:rPr>
        <w:t xml:space="preserve"> </w:t>
      </w:r>
      <w:proofErr w:type="spellStart"/>
      <w:r w:rsidRPr="00DD02C3">
        <w:rPr>
          <w:rFonts w:ascii="Arial" w:hAnsi="Arial"/>
          <w:i/>
          <w:sz w:val="20"/>
        </w:rPr>
        <w:t>ty</w:t>
      </w:r>
      <w:proofErr w:type="spellEnd"/>
      <w:r w:rsidRPr="00DD02C3">
        <w:rPr>
          <w:rFonts w:ascii="Arial" w:hAnsi="Arial"/>
          <w:i/>
          <w:sz w:val="20"/>
        </w:rPr>
        <w:t xml:space="preserve"> </w:t>
      </w:r>
      <w:proofErr w:type="spellStart"/>
      <w:r w:rsidRPr="00DD02C3">
        <w:rPr>
          <w:rFonts w:ascii="Arial" w:hAnsi="Arial"/>
          <w:i/>
          <w:sz w:val="20"/>
        </w:rPr>
        <w:t>cổ</w:t>
      </w:r>
      <w:proofErr w:type="spellEnd"/>
      <w:r w:rsidRPr="00DD02C3">
        <w:rPr>
          <w:rFonts w:ascii="Arial" w:hAnsi="Arial"/>
          <w:i/>
          <w:sz w:val="20"/>
        </w:rPr>
        <w:t xml:space="preserve"> </w:t>
      </w:r>
      <w:proofErr w:type="spellStart"/>
      <w:r w:rsidRPr="00DD02C3">
        <w:rPr>
          <w:rFonts w:ascii="Arial" w:hAnsi="Arial"/>
          <w:i/>
          <w:sz w:val="20"/>
        </w:rPr>
        <w:t>phần</w:t>
      </w:r>
      <w:proofErr w:type="spellEnd"/>
      <w:r w:rsidRPr="00DD02C3">
        <w:rPr>
          <w:rFonts w:ascii="Arial" w:hAnsi="Arial"/>
          <w:i/>
          <w:sz w:val="20"/>
        </w:rPr>
        <w:t xml:space="preserve"> </w:t>
      </w:r>
      <w:proofErr w:type="spellStart"/>
      <w:r w:rsidRPr="00DD02C3">
        <w:rPr>
          <w:rFonts w:ascii="Arial" w:hAnsi="Arial"/>
          <w:i/>
          <w:sz w:val="20"/>
        </w:rPr>
        <w:t>Vận</w:t>
      </w:r>
      <w:proofErr w:type="spellEnd"/>
      <w:r w:rsidRPr="00DD02C3">
        <w:rPr>
          <w:rFonts w:ascii="Arial" w:hAnsi="Arial"/>
          <w:i/>
          <w:sz w:val="20"/>
        </w:rPr>
        <w:t xml:space="preserve"> </w:t>
      </w:r>
      <w:proofErr w:type="spellStart"/>
      <w:r w:rsidRPr="00DD02C3">
        <w:rPr>
          <w:rFonts w:ascii="Arial" w:hAnsi="Arial"/>
          <w:i/>
          <w:sz w:val="20"/>
        </w:rPr>
        <w:t>tải</w:t>
      </w:r>
      <w:proofErr w:type="spellEnd"/>
      <w:r w:rsidRPr="00DD02C3">
        <w:rPr>
          <w:rFonts w:ascii="Arial" w:hAnsi="Arial"/>
          <w:i/>
          <w:sz w:val="20"/>
        </w:rPr>
        <w:t xml:space="preserve"> </w:t>
      </w:r>
      <w:proofErr w:type="spellStart"/>
      <w:r w:rsidRPr="00DD02C3">
        <w:rPr>
          <w:rFonts w:ascii="Arial" w:hAnsi="Arial"/>
          <w:i/>
          <w:sz w:val="20"/>
        </w:rPr>
        <w:t>Đường</w:t>
      </w:r>
      <w:proofErr w:type="spellEnd"/>
      <w:r w:rsidRPr="00DD02C3">
        <w:rPr>
          <w:rFonts w:ascii="Arial" w:hAnsi="Arial"/>
          <w:i/>
          <w:sz w:val="20"/>
        </w:rPr>
        <w:t xml:space="preserve"> </w:t>
      </w:r>
      <w:proofErr w:type="spellStart"/>
      <w:r w:rsidRPr="00DD02C3">
        <w:rPr>
          <w:rFonts w:ascii="Arial" w:hAnsi="Arial"/>
          <w:i/>
          <w:sz w:val="20"/>
        </w:rPr>
        <w:t>sắt</w:t>
      </w:r>
      <w:proofErr w:type="spellEnd"/>
      <w:r w:rsidRPr="00DD02C3">
        <w:rPr>
          <w:rFonts w:ascii="Arial" w:hAnsi="Arial"/>
          <w:i/>
          <w:sz w:val="20"/>
        </w:rPr>
        <w:t xml:space="preserve"> (</w:t>
      </w:r>
      <w:r w:rsidR="00254C3F" w:rsidRPr="00DD02C3">
        <w:rPr>
          <w:rFonts w:ascii="Arial" w:hAnsi="Arial"/>
          <w:i/>
          <w:sz w:val="20"/>
        </w:rPr>
        <w:t>tentatively</w:t>
      </w:r>
      <w:r w:rsidRPr="00DD02C3">
        <w:rPr>
          <w:rFonts w:ascii="Arial" w:hAnsi="Arial"/>
          <w:i/>
          <w:sz w:val="20"/>
        </w:rPr>
        <w:t xml:space="preserve"> translated as Railway Transport Joint Stock Company)</w:t>
      </w:r>
    </w:p>
    <w:p w14:paraId="2ACEBC44"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Share name: Shares of Railway Transport Joint Stock Company</w:t>
      </w:r>
    </w:p>
    <w:p w14:paraId="58194469"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Share type: Common shares</w:t>
      </w:r>
    </w:p>
    <w:p w14:paraId="5C624377"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Par value: VND 10,000/share</w:t>
      </w:r>
    </w:p>
    <w:p w14:paraId="40C30578"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Number of shares expected to be issued: 130,368,970 shares.</w:t>
      </w:r>
    </w:p>
    <w:p w14:paraId="14B5B340"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Total expected value of issuance at par value: VND 1,303,689,700,000.</w:t>
      </w:r>
    </w:p>
    <w:p w14:paraId="19AA4BE2"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lastRenderedPageBreak/>
        <w:t>Subject of the issuance: Existing shareholders of Hanoi Railway Transport Joint Stock Company, Saigon Railway Transport Joint Stock Company according to the list of shareholders at the time of recording the list of shareholders for swap.</w:t>
      </w:r>
    </w:p>
    <w:p w14:paraId="352DE855" w14:textId="77777777" w:rsidR="00592FEF" w:rsidRPr="00DD02C3" w:rsidRDefault="00A01F98" w:rsidP="00F86219">
      <w:pPr>
        <w:numPr>
          <w:ilvl w:val="0"/>
          <w:numId w:val="10"/>
        </w:numPr>
        <w:pBdr>
          <w:top w:val="nil"/>
          <w:left w:val="nil"/>
          <w:bottom w:val="nil"/>
          <w:right w:val="nil"/>
          <w:between w:val="nil"/>
        </w:pBdr>
        <w:tabs>
          <w:tab w:val="left" w:pos="270"/>
          <w:tab w:val="left" w:pos="432"/>
        </w:tabs>
        <w:spacing w:after="120" w:line="360" w:lineRule="auto"/>
        <w:jc w:val="both"/>
        <w:rPr>
          <w:rFonts w:ascii="Arial" w:eastAsia="Arial" w:hAnsi="Arial" w:cs="Arial"/>
          <w:i/>
          <w:sz w:val="20"/>
          <w:szCs w:val="20"/>
        </w:rPr>
      </w:pPr>
      <w:r w:rsidRPr="00DD02C3">
        <w:rPr>
          <w:rFonts w:ascii="Arial" w:hAnsi="Arial"/>
          <w:i/>
          <w:sz w:val="20"/>
        </w:rPr>
        <w:t>Issuance method: The Consolidated Company will issue 130,368,970 shares to swap all shares of shareholders in the Consolidated Company, including:</w:t>
      </w:r>
    </w:p>
    <w:p w14:paraId="3D36C671" w14:textId="77777777" w:rsidR="00592FEF" w:rsidRPr="00DD02C3" w:rsidRDefault="00A01F98" w:rsidP="00F8621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The swap rate for shareholders of Hanoi Railway Transport Joint Stock Company is 1:1.09071.</w:t>
      </w:r>
    </w:p>
    <w:p w14:paraId="7967B46A" w14:textId="77777777" w:rsidR="00592FEF" w:rsidRPr="00DD02C3"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i/>
          <w:sz w:val="20"/>
          <w:szCs w:val="20"/>
        </w:rPr>
      </w:pPr>
      <w:r w:rsidRPr="00DD02C3">
        <w:rPr>
          <w:rFonts w:ascii="Arial" w:hAnsi="Arial"/>
          <w:i/>
          <w:sz w:val="20"/>
        </w:rPr>
        <w:t>01 share of Hanoi Railway Transport Joint Stock Company will be swapped with 1.09071 shares of the Consolidated Company.</w:t>
      </w:r>
    </w:p>
    <w:p w14:paraId="1A813EC5" w14:textId="77777777" w:rsidR="00592FEF" w:rsidRPr="00DD02C3" w:rsidRDefault="00A01F98" w:rsidP="00F8621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The swap rate for shareholders of Saigon Railway Transport Joint Stock Company is 1:0.85565.</w:t>
      </w:r>
    </w:p>
    <w:p w14:paraId="6B51D392" w14:textId="77777777" w:rsidR="00592FEF" w:rsidRPr="00DD02C3"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i/>
          <w:sz w:val="20"/>
          <w:szCs w:val="20"/>
        </w:rPr>
      </w:pPr>
      <w:r w:rsidRPr="00DD02C3">
        <w:rPr>
          <w:rFonts w:ascii="Arial" w:hAnsi="Arial"/>
          <w:i/>
          <w:sz w:val="20"/>
        </w:rPr>
        <w:t>01 share of Saigon Railway Transport Joint Stock Company will be swapped with 0.85565 shares of the Consolidated Company.</w:t>
      </w:r>
    </w:p>
    <w:p w14:paraId="3D2E773C" w14:textId="77777777" w:rsidR="00592FEF" w:rsidRPr="00DD02C3" w:rsidRDefault="00A01F98" w:rsidP="00F8621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Rounding principle: The number of shares swapped for shareholders of the Consolidated Company will be rounded down to the nearest unit.</w:t>
      </w:r>
    </w:p>
    <w:p w14:paraId="3AA1018E" w14:textId="77777777" w:rsidR="00592FEF" w:rsidRPr="00DD02C3"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i/>
          <w:sz w:val="20"/>
          <w:szCs w:val="20"/>
        </w:rPr>
      </w:pPr>
      <w:r w:rsidRPr="00DD02C3">
        <w:rPr>
          <w:rFonts w:ascii="Arial" w:hAnsi="Arial"/>
          <w:i/>
          <w:sz w:val="20"/>
        </w:rPr>
        <w:t>For example: On the record date for the list of HRT's shareholders to swap shares, shareholder Nguyen Van A owns 123 HRT shares. At that time, shareholder A is entitled to 123 rights, these 123 rights will be swapped for the corresponding number of shares of the Consolidated Company, which is 123 X 1.09071 = 134.15733 shares. According to the plan for handling fractional shares, the number of shares shareholder A will receive from the Consolidated Company after rounding down to the unit is 134 shares.</w:t>
      </w:r>
    </w:p>
    <w:p w14:paraId="4DC5665F" w14:textId="77777777" w:rsidR="00592FEF" w:rsidRPr="00DD02C3"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i/>
          <w:sz w:val="20"/>
          <w:szCs w:val="20"/>
        </w:rPr>
      </w:pPr>
      <w:r w:rsidRPr="00DD02C3">
        <w:rPr>
          <w:rFonts w:ascii="Arial" w:hAnsi="Arial"/>
          <w:i/>
          <w:sz w:val="20"/>
        </w:rPr>
        <w:t>Example 2: On the record date for the list of SRT’s shareholders to swap shares, shareholder Nguyen Van B owns 123 SRT shares. At that time, shareholder B will be entitled to 123 rights, these 123 rights will be swapped for the shares of the Consolidated Company, corresponding to 123 X 0.85565 = 105.24495 shares. According to the plan for handling fractional shares, the number of shares of the Consolidated Company that shareholder B will receive after rounding down to the unit is 105 shares.</w:t>
      </w:r>
    </w:p>
    <w:p w14:paraId="28F536C9" w14:textId="77777777" w:rsidR="00592FEF" w:rsidRPr="00DD02C3" w:rsidRDefault="00A01F98" w:rsidP="00F8621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Principles for handling fractional shares: All remaining fractional shares due to the principle of calculation according to the share swap rate will be transferred to the state shareholder, Vietnam Railways, to own and manage. These shares will be restricted from transfer within 1 year from the date of completion of the issuance.</w:t>
      </w:r>
    </w:p>
    <w:p w14:paraId="6243828D" w14:textId="77777777" w:rsidR="00592FEF" w:rsidRPr="00DD02C3"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i/>
          <w:sz w:val="20"/>
          <w:szCs w:val="20"/>
        </w:rPr>
      </w:pPr>
      <w:r w:rsidRPr="00DD02C3">
        <w:rPr>
          <w:rFonts w:ascii="Arial" w:hAnsi="Arial"/>
          <w:i/>
          <w:sz w:val="20"/>
        </w:rPr>
        <w:t>Shareholders of HRT and SRT approve the transfer of all fractional shares calculated based on the share swap rate to the state shareholder</w:t>
      </w:r>
      <w:proofErr w:type="gramStart"/>
      <w:r w:rsidRPr="00DD02C3">
        <w:rPr>
          <w:rFonts w:ascii="Arial" w:hAnsi="Arial"/>
          <w:i/>
          <w:sz w:val="20"/>
        </w:rPr>
        <w:t>,  Vietnam</w:t>
      </w:r>
      <w:proofErr w:type="gramEnd"/>
      <w:r w:rsidRPr="00DD02C3">
        <w:rPr>
          <w:rFonts w:ascii="Arial" w:hAnsi="Arial"/>
          <w:i/>
          <w:sz w:val="20"/>
        </w:rPr>
        <w:t xml:space="preserve"> Railways, to own and manage.</w:t>
      </w:r>
    </w:p>
    <w:p w14:paraId="52F44AA4" w14:textId="77777777" w:rsidR="00592FEF" w:rsidRPr="00DD02C3" w:rsidRDefault="00A01F98" w:rsidP="00F8621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All additional shares issued to swap are not subject to transfer restrictions, except in the following cases:</w:t>
      </w:r>
    </w:p>
    <w:p w14:paraId="00E0533E" w14:textId="77777777" w:rsidR="00592FEF" w:rsidRPr="00DD02C3" w:rsidRDefault="00A01F98" w:rsidP="00F86219">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 xml:space="preserve">Shareholders of the Consolidated Company owning shares with transfer restrictions (employees' shares are purchased preferentially based on long-term work commitments) will also be subject to corresponding transfer restrictions when swapping shares of the Consolidated Company. The transfer of shares of the Consolidated Company complies with the provisions of the Company's Charter and </w:t>
      </w:r>
      <w:r w:rsidRPr="00DD02C3">
        <w:rPr>
          <w:rFonts w:ascii="Arial" w:hAnsi="Arial"/>
          <w:i/>
          <w:sz w:val="20"/>
        </w:rPr>
        <w:lastRenderedPageBreak/>
        <w:t xml:space="preserve">the Law on </w:t>
      </w:r>
      <w:proofErr w:type="spellStart"/>
      <w:r w:rsidRPr="00DD02C3">
        <w:rPr>
          <w:rFonts w:ascii="Arial" w:hAnsi="Arial"/>
          <w:i/>
          <w:sz w:val="20"/>
        </w:rPr>
        <w:t>equitization</w:t>
      </w:r>
      <w:proofErr w:type="spellEnd"/>
      <w:r w:rsidRPr="00DD02C3">
        <w:rPr>
          <w:rFonts w:ascii="Arial" w:hAnsi="Arial"/>
          <w:i/>
          <w:sz w:val="20"/>
        </w:rPr>
        <w:t>.</w:t>
      </w:r>
    </w:p>
    <w:p w14:paraId="38E626F3" w14:textId="77777777" w:rsidR="00592FEF" w:rsidRPr="00DD02C3" w:rsidRDefault="00A01F98" w:rsidP="00F86219">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i/>
          <w:sz w:val="20"/>
          <w:szCs w:val="20"/>
        </w:rPr>
      </w:pPr>
      <w:r w:rsidRPr="00DD02C3">
        <w:rPr>
          <w:rFonts w:ascii="Arial" w:hAnsi="Arial"/>
          <w:i/>
          <w:sz w:val="20"/>
        </w:rPr>
        <w:t>The fractional shares of the offering that will be further distributed as prescribed above will be restricted from transfer within 1 year from the date of completion of the offering.</w:t>
      </w:r>
    </w:p>
    <w:p w14:paraId="7070FF4F" w14:textId="77777777" w:rsidR="00592FEF" w:rsidRPr="00DD02C3" w:rsidRDefault="00A01F98" w:rsidP="00F86219">
      <w:pPr>
        <w:numPr>
          <w:ilvl w:val="0"/>
          <w:numId w:val="10"/>
        </w:numPr>
        <w:pBdr>
          <w:top w:val="nil"/>
          <w:left w:val="nil"/>
          <w:bottom w:val="nil"/>
          <w:right w:val="nil"/>
          <w:between w:val="nil"/>
        </w:pBdr>
        <w:tabs>
          <w:tab w:val="left" w:pos="270"/>
          <w:tab w:val="left" w:pos="432"/>
          <w:tab w:val="left" w:pos="720"/>
        </w:tabs>
        <w:spacing w:after="120" w:line="360" w:lineRule="auto"/>
        <w:jc w:val="both"/>
        <w:rPr>
          <w:rFonts w:ascii="Arial" w:eastAsia="Arial" w:hAnsi="Arial" w:cs="Arial"/>
          <w:i/>
          <w:sz w:val="20"/>
          <w:szCs w:val="20"/>
        </w:rPr>
      </w:pPr>
      <w:r w:rsidRPr="00DD02C3">
        <w:rPr>
          <w:rFonts w:ascii="Arial" w:hAnsi="Arial"/>
          <w:i/>
          <w:sz w:val="20"/>
        </w:rPr>
        <w:t>Meets regulations on foreign ownership rate: The General Meeting of Shareholders authorizes the Board of Directors to approve the plan to ensure the share issuance meets the regulations on foreign ownership rate as prescribed by law.</w:t>
      </w:r>
    </w:p>
    <w:p w14:paraId="39FF667F" w14:textId="77777777" w:rsidR="00592FEF" w:rsidRPr="00DD02C3" w:rsidRDefault="00A01F98" w:rsidP="00F86219">
      <w:pPr>
        <w:numPr>
          <w:ilvl w:val="0"/>
          <w:numId w:val="10"/>
        </w:numPr>
        <w:pBdr>
          <w:top w:val="nil"/>
          <w:left w:val="nil"/>
          <w:bottom w:val="nil"/>
          <w:right w:val="nil"/>
          <w:between w:val="nil"/>
        </w:pBdr>
        <w:tabs>
          <w:tab w:val="left" w:pos="270"/>
          <w:tab w:val="left" w:pos="432"/>
          <w:tab w:val="left" w:pos="720"/>
        </w:tabs>
        <w:spacing w:after="120" w:line="360" w:lineRule="auto"/>
        <w:jc w:val="both"/>
        <w:rPr>
          <w:rFonts w:ascii="Arial" w:eastAsia="Arial" w:hAnsi="Arial" w:cs="Arial"/>
          <w:i/>
          <w:sz w:val="20"/>
          <w:szCs w:val="20"/>
        </w:rPr>
      </w:pPr>
      <w:r w:rsidRPr="00DD02C3">
        <w:rPr>
          <w:rFonts w:ascii="Arial" w:hAnsi="Arial"/>
          <w:i/>
          <w:sz w:val="20"/>
        </w:rPr>
        <w:t>Expected implementation time: in 2024, after the State Securities Commission issues the Offering Registration Certificate. The General Meeting of Shareholders authorizes the Board of Directors to select and decide on an appropriate implementation time and extend the implementation time (based on the actual process approved by the State Securities Commission).</w:t>
      </w:r>
    </w:p>
    <w:p w14:paraId="160BE617" w14:textId="77777777" w:rsidR="00592FEF" w:rsidRPr="00DD02C3" w:rsidRDefault="00A01F98" w:rsidP="00F86219">
      <w:pPr>
        <w:numPr>
          <w:ilvl w:val="0"/>
          <w:numId w:val="10"/>
        </w:numPr>
        <w:pBdr>
          <w:top w:val="nil"/>
          <w:left w:val="nil"/>
          <w:bottom w:val="nil"/>
          <w:right w:val="nil"/>
          <w:between w:val="nil"/>
        </w:pBdr>
        <w:tabs>
          <w:tab w:val="left" w:pos="270"/>
          <w:tab w:val="left" w:pos="432"/>
          <w:tab w:val="left" w:pos="720"/>
        </w:tabs>
        <w:spacing w:after="120" w:line="360" w:lineRule="auto"/>
        <w:jc w:val="both"/>
        <w:rPr>
          <w:rFonts w:ascii="Arial" w:eastAsia="Arial" w:hAnsi="Arial" w:cs="Arial"/>
          <w:i/>
          <w:sz w:val="20"/>
          <w:szCs w:val="20"/>
        </w:rPr>
      </w:pPr>
      <w:r w:rsidRPr="00DD02C3">
        <w:rPr>
          <w:rFonts w:ascii="Arial" w:hAnsi="Arial"/>
          <w:i/>
          <w:sz w:val="20"/>
        </w:rPr>
        <w:t xml:space="preserve">Registration for depository and trading of issued shares: Issued shares will be registered at the Vietnam Securities Depository and Clearing Corporation (VSDC) and registered for trading at the </w:t>
      </w:r>
      <w:proofErr w:type="spellStart"/>
      <w:r w:rsidRPr="00DD02C3">
        <w:rPr>
          <w:rFonts w:ascii="Arial" w:hAnsi="Arial"/>
          <w:i/>
          <w:sz w:val="20"/>
        </w:rPr>
        <w:t>Upcom</w:t>
      </w:r>
      <w:proofErr w:type="spellEnd"/>
      <w:r w:rsidRPr="00DD02C3">
        <w:rPr>
          <w:rFonts w:ascii="Arial" w:hAnsi="Arial"/>
          <w:i/>
          <w:sz w:val="20"/>
        </w:rPr>
        <w:t xml:space="preserve"> system of the Hanoi Stock Exchange (HNX) in accordance with the provisions of law. </w:t>
      </w:r>
    </w:p>
    <w:p w14:paraId="6186AC90" w14:textId="77777777" w:rsidR="00592FEF" w:rsidRPr="00A01F98" w:rsidRDefault="00A01F98" w:rsidP="00F86219">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 xml:space="preserve">Business plan of the Consolidated Company </w:t>
      </w:r>
    </w:p>
    <w:p w14:paraId="0696F099" w14:textId="77777777" w:rsidR="00592FEF" w:rsidRPr="00A01F98" w:rsidRDefault="00A01F98" w:rsidP="00F86219">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Consolidation contract</w:t>
      </w:r>
    </w:p>
    <w:p w14:paraId="6798E0B7" w14:textId="77777777" w:rsidR="00592FEF" w:rsidRPr="00A01F98" w:rsidRDefault="00A01F98" w:rsidP="00F86219">
      <w:pPr>
        <w:numPr>
          <w:ilvl w:val="0"/>
          <w:numId w:val="2"/>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Charter of the Consolidated Company.</w:t>
      </w:r>
    </w:p>
    <w:p w14:paraId="6EF1C317" w14:textId="77777777" w:rsidR="00592FEF" w:rsidRPr="00A01F98" w:rsidRDefault="00A01F98" w:rsidP="00F86219">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Results of election for positions:</w:t>
      </w:r>
    </w:p>
    <w:p w14:paraId="4BD637CD" w14:textId="0943C1D1" w:rsidR="00592FEF" w:rsidRPr="00A01F98" w:rsidRDefault="00A01F98" w:rsidP="00F86219">
      <w:pPr>
        <w:numPr>
          <w:ilvl w:val="0"/>
          <w:numId w:val="9"/>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Members of the Board of Directors of the Consolidated Company </w:t>
      </w:r>
      <w:r w:rsidR="00254C3F">
        <w:rPr>
          <w:rFonts w:ascii="Arial" w:hAnsi="Arial"/>
          <w:sz w:val="20"/>
        </w:rPr>
        <w:t>include</w:t>
      </w:r>
      <w:r>
        <w:rPr>
          <w:rFonts w:ascii="Arial" w:hAnsi="Arial"/>
          <w:sz w:val="20"/>
        </w:rPr>
        <w:t>:</w:t>
      </w:r>
    </w:p>
    <w:p w14:paraId="7427836B" w14:textId="77777777" w:rsidR="00592FEF" w:rsidRPr="00A01F98" w:rsidRDefault="00A01F98" w:rsidP="00F86219">
      <w:pPr>
        <w:numPr>
          <w:ilvl w:val="0"/>
          <w:numId w:val="3"/>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Mr. Do Van </w:t>
      </w:r>
      <w:proofErr w:type="spellStart"/>
      <w:r>
        <w:rPr>
          <w:rFonts w:ascii="Arial" w:hAnsi="Arial"/>
          <w:sz w:val="20"/>
        </w:rPr>
        <w:t>Hoan</w:t>
      </w:r>
      <w:proofErr w:type="spellEnd"/>
    </w:p>
    <w:p w14:paraId="2AE998CF" w14:textId="77777777" w:rsidR="00592FEF" w:rsidRPr="00A01F98" w:rsidRDefault="00A01F98" w:rsidP="00F86219">
      <w:pPr>
        <w:numPr>
          <w:ilvl w:val="0"/>
          <w:numId w:val="3"/>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Mr. Dao Anh Tuan</w:t>
      </w:r>
    </w:p>
    <w:p w14:paraId="5E97F744" w14:textId="77777777" w:rsidR="00592FEF" w:rsidRPr="00A01F98" w:rsidRDefault="00A01F98" w:rsidP="00F86219">
      <w:pPr>
        <w:numPr>
          <w:ilvl w:val="0"/>
          <w:numId w:val="3"/>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Mr. Thai Van </w:t>
      </w:r>
      <w:proofErr w:type="spellStart"/>
      <w:r>
        <w:rPr>
          <w:rFonts w:ascii="Arial" w:hAnsi="Arial"/>
          <w:sz w:val="20"/>
        </w:rPr>
        <w:t>Truyen</w:t>
      </w:r>
      <w:proofErr w:type="spellEnd"/>
    </w:p>
    <w:p w14:paraId="06F5E325" w14:textId="77777777" w:rsidR="00592FEF" w:rsidRPr="00A01F98" w:rsidRDefault="00A01F98" w:rsidP="00F86219">
      <w:pPr>
        <w:numPr>
          <w:ilvl w:val="0"/>
          <w:numId w:val="3"/>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Mr. Nguyen Van </w:t>
      </w:r>
      <w:proofErr w:type="spellStart"/>
      <w:r>
        <w:rPr>
          <w:rFonts w:ascii="Arial" w:hAnsi="Arial"/>
          <w:sz w:val="20"/>
        </w:rPr>
        <w:t>Khien</w:t>
      </w:r>
      <w:proofErr w:type="spellEnd"/>
    </w:p>
    <w:p w14:paraId="2217A416" w14:textId="77777777" w:rsidR="00592FEF" w:rsidRPr="00A01F98" w:rsidRDefault="00A01F98" w:rsidP="00F86219">
      <w:pPr>
        <w:numPr>
          <w:ilvl w:val="0"/>
          <w:numId w:val="9"/>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Members of the Supervisory Board of the Consolidated Company include:</w:t>
      </w:r>
    </w:p>
    <w:p w14:paraId="7FFEA8D2" w14:textId="77777777" w:rsidR="00592FEF" w:rsidRPr="00A01F98" w:rsidRDefault="00A01F98" w:rsidP="00F86219">
      <w:pPr>
        <w:numPr>
          <w:ilvl w:val="0"/>
          <w:numId w:val="5"/>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Mr. Vu Dinh </w:t>
      </w:r>
      <w:proofErr w:type="spellStart"/>
      <w:r>
        <w:rPr>
          <w:rFonts w:ascii="Arial" w:hAnsi="Arial"/>
          <w:sz w:val="20"/>
        </w:rPr>
        <w:t>Diep</w:t>
      </w:r>
      <w:proofErr w:type="spellEnd"/>
    </w:p>
    <w:p w14:paraId="679F6F68" w14:textId="77777777" w:rsidR="00592FEF" w:rsidRPr="00A01F98" w:rsidRDefault="00A01F98" w:rsidP="00F86219">
      <w:pPr>
        <w:numPr>
          <w:ilvl w:val="0"/>
          <w:numId w:val="5"/>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Mr. Le Tran Hung</w:t>
      </w:r>
    </w:p>
    <w:p w14:paraId="6A81D101" w14:textId="77777777" w:rsidR="00592FEF" w:rsidRPr="00A01F98" w:rsidRDefault="00A01F98" w:rsidP="00F86219">
      <w:pPr>
        <w:numPr>
          <w:ilvl w:val="0"/>
          <w:numId w:val="5"/>
        </w:numPr>
        <w:pBdr>
          <w:top w:val="nil"/>
          <w:left w:val="nil"/>
          <w:bottom w:val="nil"/>
          <w:right w:val="nil"/>
          <w:between w:val="nil"/>
        </w:pBdr>
        <w:tabs>
          <w:tab w:val="left" w:pos="270"/>
          <w:tab w:val="left" w:pos="432"/>
        </w:tabs>
        <w:spacing w:after="120" w:line="360" w:lineRule="auto"/>
        <w:jc w:val="both"/>
        <w:rPr>
          <w:rFonts w:ascii="Arial" w:eastAsia="Arial" w:hAnsi="Arial" w:cs="Arial"/>
          <w:sz w:val="20"/>
          <w:szCs w:val="20"/>
        </w:rPr>
      </w:pPr>
      <w:r>
        <w:rPr>
          <w:rFonts w:ascii="Arial" w:hAnsi="Arial"/>
          <w:sz w:val="20"/>
        </w:rPr>
        <w:t xml:space="preserve">Ms. </w:t>
      </w:r>
      <w:proofErr w:type="spellStart"/>
      <w:r>
        <w:rPr>
          <w:rFonts w:ascii="Arial" w:hAnsi="Arial"/>
          <w:sz w:val="20"/>
        </w:rPr>
        <w:t>Vuong</w:t>
      </w:r>
      <w:proofErr w:type="spellEnd"/>
      <w:r>
        <w:rPr>
          <w:rFonts w:ascii="Arial" w:hAnsi="Arial"/>
          <w:sz w:val="20"/>
        </w:rPr>
        <w:t xml:space="preserve"> Phuong Thao</w:t>
      </w:r>
    </w:p>
    <w:p w14:paraId="113C069B" w14:textId="77777777" w:rsidR="00592FEF" w:rsidRPr="00A01F98" w:rsidRDefault="00A01F98" w:rsidP="00F86219">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 xml:space="preserve">Approve appointing Mr. Dao Anh Tuan as the General Manager of the Consolidated Company. </w:t>
      </w:r>
    </w:p>
    <w:p w14:paraId="46D629B9" w14:textId="77777777" w:rsidR="00592FEF" w:rsidRPr="00A01F98"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This General Mandate was approved in full by the General Meeting of Shareholders of Saigon Railway Transport Joint Stock Company at the annual meeting on April 29, 2024.</w:t>
      </w:r>
    </w:p>
    <w:p w14:paraId="210B67A4" w14:textId="77777777" w:rsidR="00592FEF" w:rsidRPr="00A01F98" w:rsidRDefault="00A01F98" w:rsidP="00F86219">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Board of Directors, the Supervisory Board, the General Manager of Saigon Railway Transport Joint Stock Company are responsible for implementing the contents and supervising the implementation of the General Mandate according to their authority, functions and duties; reporting to the General Meeting of Shareholders at the next meeting./.</w:t>
      </w:r>
    </w:p>
    <w:sectPr w:rsidR="00592FEF" w:rsidRPr="00A01F98" w:rsidSect="00A01F9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C35"/>
    <w:multiLevelType w:val="multilevel"/>
    <w:tmpl w:val="AC3E36D8"/>
    <w:lvl w:ilvl="0">
      <w:start w:val="2"/>
      <w:numFmt w:val="decimal"/>
      <w:lvlText w:val="9.%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953231"/>
    <w:multiLevelType w:val="multilevel"/>
    <w:tmpl w:val="000E7C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E6D87"/>
    <w:multiLevelType w:val="multilevel"/>
    <w:tmpl w:val="819470B4"/>
    <w:lvl w:ilvl="0">
      <w:start w:val="1"/>
      <w:numFmt w:val="decimal"/>
      <w:lvlText w:val="%1."/>
      <w:lvlJc w:val="left"/>
      <w:pPr>
        <w:ind w:left="0" w:firstLine="0"/>
      </w:pPr>
      <w:rPr>
        <w:b w:val="0"/>
        <w:i/>
        <w:smallCaps w:val="0"/>
        <w:strike w:val="0"/>
        <w:color w:val="434343"/>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1C47D3"/>
    <w:multiLevelType w:val="multilevel"/>
    <w:tmpl w:val="B83EB7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BA3B00"/>
    <w:multiLevelType w:val="multilevel"/>
    <w:tmpl w:val="6756E9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3920DB"/>
    <w:multiLevelType w:val="multilevel"/>
    <w:tmpl w:val="E80A544C"/>
    <w:lvl w:ilvl="0">
      <w:start w:val="1"/>
      <w:numFmt w:val="lowerLetter"/>
      <w:lvlText w:val="%1)"/>
      <w:lvlJc w:val="left"/>
      <w:pPr>
        <w:ind w:left="780" w:hanging="360"/>
      </w:pPr>
      <w:rPr>
        <w:b w:val="0"/>
        <w:i w:val="0"/>
        <w:sz w:val="20"/>
      </w:rPr>
    </w:lvl>
    <w:lvl w:ilvl="1">
      <w:start w:val="1"/>
      <w:numFmt w:val="lowerLetter"/>
      <w:lvlText w:val="%2."/>
      <w:lvlJc w:val="left"/>
      <w:pPr>
        <w:ind w:left="1500" w:hanging="360"/>
      </w:pPr>
      <w:rPr>
        <w:b w:val="0"/>
        <w:i w:val="0"/>
        <w:sz w:val="20"/>
      </w:rPr>
    </w:lvl>
    <w:lvl w:ilvl="2">
      <w:start w:val="1"/>
      <w:numFmt w:val="lowerRoman"/>
      <w:lvlText w:val="%3."/>
      <w:lvlJc w:val="right"/>
      <w:pPr>
        <w:ind w:left="2220" w:hanging="180"/>
      </w:pPr>
      <w:rPr>
        <w:b w:val="0"/>
        <w:i w:val="0"/>
        <w:sz w:val="20"/>
      </w:r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3FC65B4E"/>
    <w:multiLevelType w:val="multilevel"/>
    <w:tmpl w:val="F878DD30"/>
    <w:lvl w:ilvl="0">
      <w:start w:val="9"/>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2222545"/>
    <w:multiLevelType w:val="multilevel"/>
    <w:tmpl w:val="B108200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7618D4"/>
    <w:multiLevelType w:val="multilevel"/>
    <w:tmpl w:val="9F6ECF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F124606"/>
    <w:multiLevelType w:val="multilevel"/>
    <w:tmpl w:val="59EC242A"/>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1A47BF9"/>
    <w:multiLevelType w:val="multilevel"/>
    <w:tmpl w:val="72E2E0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794336C"/>
    <w:multiLevelType w:val="multilevel"/>
    <w:tmpl w:val="A348A2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F075D8"/>
    <w:multiLevelType w:val="multilevel"/>
    <w:tmpl w:val="B72C98B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4"/>
  </w:num>
  <w:num w:numId="10">
    <w:abstractNumId w:val="1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EF"/>
    <w:rsid w:val="00061402"/>
    <w:rsid w:val="00254C3F"/>
    <w:rsid w:val="00362E11"/>
    <w:rsid w:val="00592FEF"/>
    <w:rsid w:val="00721EE4"/>
    <w:rsid w:val="00A01F98"/>
    <w:rsid w:val="00DD02C3"/>
    <w:rsid w:val="00F862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9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b/>
      <w:bCs/>
      <w:i/>
      <w:iCs/>
      <w:sz w:val="22"/>
      <w:szCs w:val="22"/>
    </w:rPr>
  </w:style>
  <w:style w:type="paragraph" w:customStyle="1" w:styleId="Bodytext20">
    <w:name w:val="Body text (2)"/>
    <w:basedOn w:val="Normal"/>
    <w:link w:val="Bodytext2"/>
    <w:rPr>
      <w:rFonts w:ascii="Arial" w:eastAsia="Arial" w:hAnsi="Arial" w:cs="Arial"/>
      <w:sz w:val="11"/>
      <w:szCs w:val="11"/>
    </w:rPr>
  </w:style>
  <w:style w:type="paragraph" w:customStyle="1" w:styleId="Bodytext40">
    <w:name w:val="Body text (4)"/>
    <w:basedOn w:val="Normal"/>
    <w:link w:val="Bodytext4"/>
    <w:pPr>
      <w:jc w:val="center"/>
    </w:pPr>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9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b/>
      <w:bCs/>
      <w:i/>
      <w:iCs/>
      <w:sz w:val="22"/>
      <w:szCs w:val="22"/>
    </w:rPr>
  </w:style>
  <w:style w:type="paragraph" w:customStyle="1" w:styleId="Bodytext20">
    <w:name w:val="Body text (2)"/>
    <w:basedOn w:val="Normal"/>
    <w:link w:val="Bodytext2"/>
    <w:rPr>
      <w:rFonts w:ascii="Arial" w:eastAsia="Arial" w:hAnsi="Arial" w:cs="Arial"/>
      <w:sz w:val="11"/>
      <w:szCs w:val="11"/>
    </w:rPr>
  </w:style>
  <w:style w:type="paragraph" w:customStyle="1" w:styleId="Bodytext40">
    <w:name w:val="Body text (4)"/>
    <w:basedOn w:val="Normal"/>
    <w:link w:val="Bodytext4"/>
    <w:pPr>
      <w:jc w:val="center"/>
    </w:pPr>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gwtBDx0st7wWM+y8IW1QSToGlg==">CgMxLjA4AHIhMXRqOTc1dUVGSTBDSUc3dzZKTUdpRExHRktva0MtZVNo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1719</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 Anh</cp:lastModifiedBy>
  <cp:revision>5</cp:revision>
  <dcterms:created xsi:type="dcterms:W3CDTF">2024-05-07T02:39:00Z</dcterms:created>
  <dcterms:modified xsi:type="dcterms:W3CDTF">2024-05-07T08:32:00Z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cf275b782b7041ad768bdd1baef8f798b9197c6ce10a2ea47550e7d6e6c69307</vt:lpwstr>
  </property>
</Properties>
</file>