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97" w:rsidRDefault="00304D68" w:rsidP="00C67A7F">
      <w:pPr>
        <w:pBdr>
          <w:top w:val="nil"/>
          <w:left w:val="nil"/>
          <w:bottom w:val="nil"/>
          <w:right w:val="nil"/>
          <w:between w:val="nil"/>
        </w:pBdr>
        <w:spacing w:after="120" w:line="360" w:lineRule="auto"/>
        <w:jc w:val="both"/>
        <w:rPr>
          <w:rFonts w:ascii="Arial" w:eastAsia="Arial" w:hAnsi="Arial" w:cs="Arial"/>
          <w:b/>
          <w:sz w:val="20"/>
          <w:szCs w:val="20"/>
        </w:rPr>
      </w:pPr>
      <w:r>
        <w:rPr>
          <w:rFonts w:ascii="Arial" w:hAnsi="Arial"/>
          <w:b/>
          <w:sz w:val="20"/>
        </w:rPr>
        <w:t>SSG: Annual General Mandate 2024</w:t>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On April 26, 2024, Seagull Shipping Company announced General Mandate No. 17/2024/NQ-DHDCD as follows:</w:t>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1: Approve the Report on activities of the Board of Directors in 2023 and the operational orientation in 2024.</w:t>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2: Approve the Audited Financial Statements 2023.</w:t>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Article 3: Approve the income statement in 2023; </w:t>
      </w:r>
      <w:proofErr w:type="gramStart"/>
      <w:r>
        <w:rPr>
          <w:rFonts w:ascii="Arial" w:hAnsi="Arial"/>
          <w:sz w:val="20"/>
        </w:rPr>
        <w:t>In</w:t>
      </w:r>
      <w:proofErr w:type="gramEnd"/>
      <w:r>
        <w:rPr>
          <w:rFonts w:ascii="Arial" w:hAnsi="Arial"/>
          <w:sz w:val="20"/>
        </w:rPr>
        <w:t xml:space="preserve"> which, some key audited indicators compared to the plan 2023 are as follows:</w:t>
      </w:r>
    </w:p>
    <w:p w:rsidR="00B66697" w:rsidRDefault="00304D68">
      <w:pPr>
        <w:pBdr>
          <w:top w:val="nil"/>
          <w:left w:val="nil"/>
          <w:bottom w:val="nil"/>
          <w:right w:val="nil"/>
          <w:between w:val="nil"/>
        </w:pBdr>
        <w:spacing w:after="120" w:line="360" w:lineRule="auto"/>
        <w:jc w:val="right"/>
        <w:rPr>
          <w:rFonts w:ascii="Arial" w:eastAsia="Arial" w:hAnsi="Arial" w:cs="Arial"/>
          <w:sz w:val="20"/>
          <w:szCs w:val="20"/>
        </w:rPr>
      </w:pPr>
      <w:r>
        <w:rPr>
          <w:rFonts w:ascii="Arial" w:hAnsi="Arial"/>
          <w:sz w:val="20"/>
        </w:rPr>
        <w:t>Unit: Million VND</w:t>
      </w:r>
    </w:p>
    <w:tbl>
      <w:tblPr>
        <w:tblStyle w:val="a"/>
        <w:tblW w:w="9016" w:type="dxa"/>
        <w:tblLayout w:type="fixed"/>
        <w:tblLook w:val="0000" w:firstRow="0" w:lastRow="0" w:firstColumn="0" w:lastColumn="0" w:noHBand="0" w:noVBand="0"/>
      </w:tblPr>
      <w:tblGrid>
        <w:gridCol w:w="852"/>
        <w:gridCol w:w="2871"/>
        <w:gridCol w:w="1755"/>
        <w:gridCol w:w="1585"/>
        <w:gridCol w:w="1953"/>
      </w:tblGrid>
      <w:tr w:rsidR="00B66697">
        <w:trPr>
          <w:trHeight w:val="453"/>
        </w:trPr>
        <w:tc>
          <w:tcPr>
            <w:tcW w:w="852"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No.</w:t>
            </w:r>
          </w:p>
        </w:tc>
        <w:tc>
          <w:tcPr>
            <w:tcW w:w="2871"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Target</w:t>
            </w:r>
          </w:p>
        </w:tc>
        <w:tc>
          <w:tcPr>
            <w:tcW w:w="1755"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Plan 2023 </w:t>
            </w:r>
          </w:p>
        </w:tc>
        <w:tc>
          <w:tcPr>
            <w:tcW w:w="1585"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Results 2023 </w:t>
            </w:r>
          </w:p>
        </w:tc>
        <w:tc>
          <w:tcPr>
            <w:tcW w:w="1953" w:type="dxa"/>
            <w:tcBorders>
              <w:top w:val="single" w:sz="4" w:space="0" w:color="000000"/>
              <w:left w:val="single" w:sz="4" w:space="0" w:color="000000"/>
              <w:righ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 xml:space="preserve">Results 2023 /Plan 2023 </w:t>
            </w:r>
          </w:p>
        </w:tc>
      </w:tr>
      <w:tr w:rsidR="00B66697">
        <w:trPr>
          <w:trHeight w:val="222"/>
        </w:trPr>
        <w:tc>
          <w:tcPr>
            <w:tcW w:w="852" w:type="dxa"/>
            <w:tcBorders>
              <w:top w:val="single" w:sz="4" w:space="0" w:color="000000"/>
              <w:lef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1</w:t>
            </w:r>
          </w:p>
        </w:tc>
        <w:tc>
          <w:tcPr>
            <w:tcW w:w="2871" w:type="dxa"/>
            <w:tcBorders>
              <w:top w:val="single" w:sz="4" w:space="0" w:color="000000"/>
              <w:lef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Total revenue</w:t>
            </w:r>
          </w:p>
        </w:tc>
        <w:tc>
          <w:tcPr>
            <w:tcW w:w="1755" w:type="dxa"/>
            <w:tcBorders>
              <w:top w:val="single" w:sz="4" w:space="0" w:color="000000"/>
              <w:lef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46,134</w:t>
            </w:r>
          </w:p>
        </w:tc>
        <w:tc>
          <w:tcPr>
            <w:tcW w:w="1585" w:type="dxa"/>
            <w:tcBorders>
              <w:top w:val="single" w:sz="4" w:space="0" w:color="000000"/>
              <w:lef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35,794</w:t>
            </w:r>
          </w:p>
        </w:tc>
        <w:tc>
          <w:tcPr>
            <w:tcW w:w="1953" w:type="dxa"/>
            <w:tcBorders>
              <w:top w:val="single" w:sz="4" w:space="0" w:color="000000"/>
              <w:left w:val="single" w:sz="4" w:space="0" w:color="000000"/>
              <w:righ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77.59%</w:t>
            </w:r>
          </w:p>
        </w:tc>
      </w:tr>
      <w:tr w:rsidR="00B66697">
        <w:trPr>
          <w:trHeight w:val="222"/>
        </w:trPr>
        <w:tc>
          <w:tcPr>
            <w:tcW w:w="852" w:type="dxa"/>
            <w:tcBorders>
              <w:top w:val="single" w:sz="4" w:space="0" w:color="000000"/>
              <w:lef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2</w:t>
            </w:r>
          </w:p>
        </w:tc>
        <w:tc>
          <w:tcPr>
            <w:tcW w:w="2871" w:type="dxa"/>
            <w:tcBorders>
              <w:top w:val="single" w:sz="4" w:space="0" w:color="000000"/>
              <w:lef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Salary fund</w:t>
            </w:r>
          </w:p>
        </w:tc>
        <w:tc>
          <w:tcPr>
            <w:tcW w:w="1755" w:type="dxa"/>
            <w:tcBorders>
              <w:top w:val="single" w:sz="4" w:space="0" w:color="000000"/>
              <w:lef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9,600</w:t>
            </w:r>
          </w:p>
        </w:tc>
        <w:tc>
          <w:tcPr>
            <w:tcW w:w="1585" w:type="dxa"/>
            <w:tcBorders>
              <w:top w:val="single" w:sz="4" w:space="0" w:color="000000"/>
              <w:lef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9,138</w:t>
            </w:r>
          </w:p>
        </w:tc>
        <w:tc>
          <w:tcPr>
            <w:tcW w:w="1953" w:type="dxa"/>
            <w:tcBorders>
              <w:top w:val="single" w:sz="4" w:space="0" w:color="000000"/>
              <w:left w:val="single" w:sz="4" w:space="0" w:color="000000"/>
              <w:righ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95.19%</w:t>
            </w:r>
          </w:p>
        </w:tc>
      </w:tr>
      <w:tr w:rsidR="00B66697">
        <w:trPr>
          <w:trHeight w:val="227"/>
        </w:trPr>
        <w:tc>
          <w:tcPr>
            <w:tcW w:w="852" w:type="dxa"/>
            <w:tcBorders>
              <w:top w:val="single" w:sz="4" w:space="0" w:color="000000"/>
              <w:left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3</w:t>
            </w:r>
          </w:p>
        </w:tc>
        <w:tc>
          <w:tcPr>
            <w:tcW w:w="2871" w:type="dxa"/>
            <w:tcBorders>
              <w:top w:val="single" w:sz="4" w:space="0" w:color="000000"/>
              <w:left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Basic depreciation</w:t>
            </w:r>
          </w:p>
        </w:tc>
        <w:tc>
          <w:tcPr>
            <w:tcW w:w="1755"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w:t>
            </w:r>
          </w:p>
        </w:tc>
        <w:tc>
          <w:tcPr>
            <w:tcW w:w="1585"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w:t>
            </w:r>
          </w:p>
        </w:tc>
        <w:tc>
          <w:tcPr>
            <w:tcW w:w="1953" w:type="dxa"/>
            <w:tcBorders>
              <w:top w:val="single" w:sz="4" w:space="0" w:color="000000"/>
              <w:left w:val="single" w:sz="4" w:space="0" w:color="000000"/>
              <w:righ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0.00%</w:t>
            </w:r>
          </w:p>
        </w:tc>
      </w:tr>
      <w:tr w:rsidR="00B66697">
        <w:trPr>
          <w:trHeight w:val="247"/>
        </w:trPr>
        <w:tc>
          <w:tcPr>
            <w:tcW w:w="852"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4</w:t>
            </w:r>
          </w:p>
        </w:tc>
        <w:tc>
          <w:tcPr>
            <w:tcW w:w="2871"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Profit after tax</w:t>
            </w:r>
          </w:p>
        </w:tc>
        <w:tc>
          <w:tcPr>
            <w:tcW w:w="1755"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15,616</w:t>
            </w:r>
          </w:p>
        </w:tc>
        <w:tc>
          <w:tcPr>
            <w:tcW w:w="1585"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4,838</w:t>
            </w:r>
          </w:p>
        </w:tc>
        <w:tc>
          <w:tcPr>
            <w:tcW w:w="1953" w:type="dxa"/>
            <w:tcBorders>
              <w:top w:val="single" w:sz="4" w:space="0" w:color="000000"/>
              <w:left w:val="single" w:sz="4" w:space="0" w:color="000000"/>
              <w:bottom w:val="single" w:sz="4" w:space="0" w:color="000000"/>
              <w:right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31%</w:t>
            </w:r>
          </w:p>
        </w:tc>
      </w:tr>
      <w:tr w:rsidR="00B66697">
        <w:trPr>
          <w:trHeight w:val="247"/>
        </w:trPr>
        <w:tc>
          <w:tcPr>
            <w:tcW w:w="852"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5</w:t>
            </w:r>
          </w:p>
        </w:tc>
        <w:tc>
          <w:tcPr>
            <w:tcW w:w="2871"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Remuneration of the Board of Directors and the Supervisory Board</w:t>
            </w:r>
          </w:p>
        </w:tc>
        <w:tc>
          <w:tcPr>
            <w:tcW w:w="1755"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372</w:t>
            </w:r>
          </w:p>
        </w:tc>
        <w:tc>
          <w:tcPr>
            <w:tcW w:w="1585"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304</w:t>
            </w:r>
          </w:p>
        </w:tc>
        <w:tc>
          <w:tcPr>
            <w:tcW w:w="1953" w:type="dxa"/>
            <w:tcBorders>
              <w:top w:val="single" w:sz="4" w:space="0" w:color="000000"/>
              <w:left w:val="single" w:sz="4" w:space="0" w:color="000000"/>
              <w:bottom w:val="single" w:sz="4" w:space="0" w:color="000000"/>
              <w:right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81.72%</w:t>
            </w:r>
          </w:p>
        </w:tc>
      </w:tr>
      <w:tr w:rsidR="00B66697">
        <w:trPr>
          <w:trHeight w:val="247"/>
        </w:trPr>
        <w:tc>
          <w:tcPr>
            <w:tcW w:w="852"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6</w:t>
            </w:r>
          </w:p>
        </w:tc>
        <w:tc>
          <w:tcPr>
            <w:tcW w:w="2871"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Dividend payment</w:t>
            </w:r>
          </w:p>
        </w:tc>
        <w:tc>
          <w:tcPr>
            <w:tcW w:w="1755"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30% per share</w:t>
            </w:r>
          </w:p>
        </w:tc>
        <w:tc>
          <w:tcPr>
            <w:tcW w:w="1585" w:type="dxa"/>
            <w:tcBorders>
              <w:top w:val="single" w:sz="4" w:space="0" w:color="000000"/>
              <w:left w:val="single" w:sz="4" w:space="0" w:color="000000"/>
              <w:bottom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10% per share</w:t>
            </w:r>
          </w:p>
        </w:tc>
        <w:tc>
          <w:tcPr>
            <w:tcW w:w="1953" w:type="dxa"/>
            <w:tcBorders>
              <w:top w:val="single" w:sz="4" w:space="0" w:color="000000"/>
              <w:left w:val="single" w:sz="4" w:space="0" w:color="000000"/>
              <w:bottom w:val="single" w:sz="4" w:space="0" w:color="000000"/>
              <w:right w:val="single" w:sz="4"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33.33% per share</w:t>
            </w:r>
          </w:p>
        </w:tc>
      </w:tr>
    </w:tbl>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Article 4: </w:t>
      </w:r>
      <w:r>
        <w:rPr>
          <w:rFonts w:ascii="Arial" w:hAnsi="Arial"/>
          <w:sz w:val="20"/>
        </w:rPr>
        <w:t>Approve the Plan for distribution of profit after tax in 2023:</w:t>
      </w:r>
    </w:p>
    <w:p w:rsidR="00B66697" w:rsidRDefault="00304D68" w:rsidP="00C67A7F">
      <w:pPr>
        <w:numPr>
          <w:ilvl w:val="0"/>
          <w:numId w:val="3"/>
        </w:numPr>
        <w:pBdr>
          <w:top w:val="nil"/>
          <w:left w:val="nil"/>
          <w:bottom w:val="nil"/>
          <w:right w:val="nil"/>
          <w:between w:val="nil"/>
        </w:pBdr>
        <w:tabs>
          <w:tab w:val="left" w:pos="270"/>
        </w:tabs>
        <w:spacing w:after="120" w:line="360" w:lineRule="auto"/>
        <w:jc w:val="both"/>
        <w:rPr>
          <w:rFonts w:ascii="Arial" w:eastAsia="Arial" w:hAnsi="Arial" w:cs="Arial"/>
          <w:sz w:val="20"/>
          <w:szCs w:val="20"/>
        </w:rPr>
      </w:pPr>
      <w:r>
        <w:rPr>
          <w:rFonts w:ascii="Arial" w:hAnsi="Arial"/>
          <w:sz w:val="20"/>
        </w:rPr>
        <w:t xml:space="preserve">Undistributed profit after tax up to 2022: </w:t>
      </w:r>
      <w:r>
        <w:rPr>
          <w:rFonts w:ascii="Arial" w:hAnsi="Arial"/>
          <w:sz w:val="20"/>
        </w:rPr>
        <w:t>VND 368 Million.</w:t>
      </w:r>
    </w:p>
    <w:p w:rsidR="00B66697" w:rsidRDefault="00304D68" w:rsidP="00C67A7F">
      <w:pPr>
        <w:numPr>
          <w:ilvl w:val="0"/>
          <w:numId w:val="3"/>
        </w:numPr>
        <w:pBdr>
          <w:top w:val="nil"/>
          <w:left w:val="nil"/>
          <w:bottom w:val="nil"/>
          <w:right w:val="nil"/>
          <w:between w:val="nil"/>
        </w:pBdr>
        <w:tabs>
          <w:tab w:val="left" w:pos="270"/>
        </w:tabs>
        <w:spacing w:after="120" w:line="360" w:lineRule="auto"/>
        <w:jc w:val="both"/>
        <w:rPr>
          <w:rFonts w:ascii="Arial" w:eastAsia="Arial" w:hAnsi="Arial" w:cs="Arial"/>
          <w:sz w:val="20"/>
          <w:szCs w:val="20"/>
        </w:rPr>
      </w:pPr>
      <w:r>
        <w:rPr>
          <w:rFonts w:ascii="Arial" w:hAnsi="Arial"/>
          <w:sz w:val="20"/>
        </w:rPr>
        <w:t xml:space="preserve">Profit after tax in 2023: </w:t>
      </w:r>
      <w:r>
        <w:rPr>
          <w:rFonts w:ascii="Arial" w:hAnsi="Arial"/>
          <w:sz w:val="20"/>
        </w:rPr>
        <w:t>VND 4,838 Million.</w:t>
      </w:r>
    </w:p>
    <w:p w:rsidR="00B66697" w:rsidRDefault="00304D68" w:rsidP="00C67A7F">
      <w:pPr>
        <w:numPr>
          <w:ilvl w:val="0"/>
          <w:numId w:val="3"/>
        </w:numPr>
        <w:pBdr>
          <w:top w:val="nil"/>
          <w:left w:val="nil"/>
          <w:bottom w:val="nil"/>
          <w:right w:val="nil"/>
          <w:between w:val="nil"/>
        </w:pBdr>
        <w:tabs>
          <w:tab w:val="left" w:pos="270"/>
        </w:tabs>
        <w:spacing w:after="120" w:line="360" w:lineRule="auto"/>
        <w:jc w:val="both"/>
        <w:rPr>
          <w:rFonts w:ascii="Arial" w:eastAsia="Arial" w:hAnsi="Arial" w:cs="Arial"/>
          <w:sz w:val="20"/>
          <w:szCs w:val="20"/>
        </w:rPr>
      </w:pPr>
      <w:r>
        <w:rPr>
          <w:rFonts w:ascii="Arial" w:hAnsi="Arial"/>
          <w:sz w:val="20"/>
        </w:rPr>
        <w:t xml:space="preserve"> </w:t>
      </w:r>
      <w:r>
        <w:rPr>
          <w:rFonts w:ascii="Arial" w:hAnsi="Arial"/>
          <w:sz w:val="20"/>
        </w:rPr>
        <w:t xml:space="preserve">Undistributed profit after tax until December 31, 2023: </w:t>
      </w:r>
      <w:r>
        <w:rPr>
          <w:rFonts w:ascii="Arial" w:hAnsi="Arial"/>
          <w:sz w:val="20"/>
        </w:rPr>
        <w:t>VND 5,206 Million.</w:t>
      </w:r>
    </w:p>
    <w:p w:rsidR="00B66697" w:rsidRDefault="00304D68" w:rsidP="00C67A7F">
      <w:pPr>
        <w:numPr>
          <w:ilvl w:val="0"/>
          <w:numId w:val="3"/>
        </w:numPr>
        <w:pBdr>
          <w:top w:val="nil"/>
          <w:left w:val="nil"/>
          <w:bottom w:val="nil"/>
          <w:right w:val="nil"/>
          <w:between w:val="nil"/>
        </w:pBdr>
        <w:tabs>
          <w:tab w:val="left" w:pos="270"/>
        </w:tabs>
        <w:spacing w:after="120" w:line="360" w:lineRule="auto"/>
        <w:jc w:val="both"/>
        <w:rPr>
          <w:rFonts w:ascii="Arial" w:eastAsia="Arial" w:hAnsi="Arial" w:cs="Arial"/>
          <w:sz w:val="20"/>
          <w:szCs w:val="20"/>
        </w:rPr>
      </w:pPr>
      <w:r>
        <w:rPr>
          <w:rFonts w:ascii="Arial" w:hAnsi="Arial"/>
          <w:sz w:val="20"/>
        </w:rPr>
        <w:t>Dividend payment for 2023 in cash at the rate of 10%/share: VND 4,981 Million.</w:t>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(1 share receives VND 1,000 x 4,981,190 outstanding common shares)</w:t>
      </w:r>
    </w:p>
    <w:p w:rsidR="00B66697" w:rsidRDefault="00304D68" w:rsidP="00C67A7F">
      <w:pPr>
        <w:numPr>
          <w:ilvl w:val="0"/>
          <w:numId w:val="3"/>
        </w:numPr>
        <w:pBdr>
          <w:top w:val="nil"/>
          <w:left w:val="nil"/>
          <w:bottom w:val="nil"/>
          <w:right w:val="nil"/>
          <w:between w:val="nil"/>
        </w:pBdr>
        <w:tabs>
          <w:tab w:val="left" w:pos="270"/>
        </w:tabs>
        <w:spacing w:after="120" w:line="360" w:lineRule="auto"/>
        <w:jc w:val="both"/>
        <w:rPr>
          <w:rFonts w:ascii="Arial" w:eastAsia="Arial" w:hAnsi="Arial" w:cs="Arial"/>
          <w:sz w:val="20"/>
          <w:szCs w:val="20"/>
        </w:rPr>
      </w:pPr>
      <w:r>
        <w:rPr>
          <w:rFonts w:ascii="Arial" w:hAnsi="Arial"/>
          <w:sz w:val="20"/>
        </w:rPr>
        <w:t>Remaining profit after tax (5</w:t>
      </w:r>
      <w:proofErr w:type="gramStart"/>
      <w:r>
        <w:rPr>
          <w:rFonts w:ascii="Arial" w:hAnsi="Arial"/>
          <w:sz w:val="20"/>
        </w:rPr>
        <w:t>)=</w:t>
      </w:r>
      <w:proofErr w:type="gramEnd"/>
      <w:r>
        <w:rPr>
          <w:rFonts w:ascii="Arial" w:hAnsi="Arial"/>
          <w:sz w:val="20"/>
        </w:rPr>
        <w:t>(3)-</w:t>
      </w:r>
      <w:r>
        <w:rPr>
          <w:rFonts w:ascii="Arial" w:hAnsi="Arial"/>
          <w:sz w:val="20"/>
        </w:rPr>
        <w:t>(4): VND 225 Million.</w:t>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Article 5: </w:t>
      </w:r>
      <w:r>
        <w:rPr>
          <w:rFonts w:ascii="Arial" w:hAnsi="Arial"/>
          <w:sz w:val="20"/>
        </w:rPr>
        <w:t>Approve the Production and Business Plan for 2024 and the Profit Distribution Plan for 2024</w:t>
      </w:r>
    </w:p>
    <w:p w:rsidR="00B66697" w:rsidRDefault="00304D68" w:rsidP="00C67A7F">
      <w:pPr>
        <w:numPr>
          <w:ilvl w:val="0"/>
          <w:numId w:val="1"/>
        </w:numPr>
        <w:pBdr>
          <w:top w:val="nil"/>
          <w:left w:val="nil"/>
          <w:bottom w:val="nil"/>
          <w:right w:val="nil"/>
          <w:between w:val="nil"/>
        </w:pBdr>
        <w:tabs>
          <w:tab w:val="left" w:pos="270"/>
        </w:tabs>
        <w:spacing w:after="120" w:line="360" w:lineRule="auto"/>
        <w:jc w:val="both"/>
        <w:rPr>
          <w:rFonts w:ascii="Arial" w:eastAsia="Arial" w:hAnsi="Arial" w:cs="Arial"/>
          <w:sz w:val="20"/>
          <w:szCs w:val="20"/>
        </w:rPr>
      </w:pPr>
      <w:r>
        <w:rPr>
          <w:rFonts w:ascii="Arial" w:hAnsi="Arial"/>
          <w:sz w:val="20"/>
        </w:rPr>
        <w:t>Production and business plan 2024:</w:t>
      </w:r>
    </w:p>
    <w:p w:rsidR="00B66697" w:rsidRDefault="00304D68" w:rsidP="00C67A7F">
      <w:pPr>
        <w:numPr>
          <w:ilvl w:val="1"/>
          <w:numId w:val="1"/>
        </w:numPr>
        <w:pBdr>
          <w:top w:val="nil"/>
          <w:left w:val="nil"/>
          <w:bottom w:val="nil"/>
          <w:right w:val="nil"/>
          <w:between w:val="nil"/>
        </w:pBdr>
        <w:tabs>
          <w:tab w:val="left" w:pos="450"/>
          <w:tab w:val="left" w:pos="5111"/>
        </w:tabs>
        <w:spacing w:after="120" w:line="360" w:lineRule="auto"/>
        <w:jc w:val="both"/>
        <w:rPr>
          <w:rFonts w:ascii="Arial" w:eastAsia="Arial" w:hAnsi="Arial" w:cs="Arial"/>
          <w:sz w:val="20"/>
          <w:szCs w:val="20"/>
        </w:rPr>
      </w:pPr>
      <w:r>
        <w:rPr>
          <w:rFonts w:ascii="Arial" w:hAnsi="Arial"/>
          <w:sz w:val="20"/>
        </w:rPr>
        <w:t>Total revenue: VND 30,216 million;</w:t>
      </w:r>
    </w:p>
    <w:p w:rsidR="00B66697" w:rsidRDefault="00C67A7F" w:rsidP="00C67A7F">
      <w:pPr>
        <w:numPr>
          <w:ilvl w:val="1"/>
          <w:numId w:val="1"/>
        </w:numPr>
        <w:pBdr>
          <w:top w:val="nil"/>
          <w:left w:val="nil"/>
          <w:bottom w:val="nil"/>
          <w:right w:val="nil"/>
          <w:between w:val="nil"/>
        </w:pBdr>
        <w:tabs>
          <w:tab w:val="left" w:pos="450"/>
          <w:tab w:val="left" w:pos="5111"/>
        </w:tabs>
        <w:spacing w:after="120" w:line="360" w:lineRule="auto"/>
        <w:jc w:val="both"/>
        <w:rPr>
          <w:rFonts w:ascii="Arial" w:eastAsia="Arial" w:hAnsi="Arial" w:cs="Arial"/>
          <w:sz w:val="20"/>
          <w:szCs w:val="20"/>
        </w:rPr>
      </w:pPr>
      <w:r>
        <w:rPr>
          <w:rFonts w:ascii="Arial" w:hAnsi="Arial"/>
          <w:sz w:val="20"/>
        </w:rPr>
        <w:t xml:space="preserve">Profit after tax: </w:t>
      </w:r>
      <w:r w:rsidR="00304D68">
        <w:rPr>
          <w:rFonts w:ascii="Arial" w:hAnsi="Arial"/>
          <w:sz w:val="20"/>
        </w:rPr>
        <w:t>VND 5,242 million;</w:t>
      </w:r>
    </w:p>
    <w:p w:rsidR="00B66697" w:rsidRDefault="00304D68" w:rsidP="00C67A7F">
      <w:pPr>
        <w:numPr>
          <w:ilvl w:val="0"/>
          <w:numId w:val="1"/>
        </w:numPr>
        <w:pBdr>
          <w:top w:val="nil"/>
          <w:left w:val="nil"/>
          <w:bottom w:val="nil"/>
          <w:right w:val="nil"/>
          <w:between w:val="nil"/>
        </w:pBdr>
        <w:tabs>
          <w:tab w:val="left" w:pos="270"/>
        </w:tabs>
        <w:spacing w:after="120" w:line="360" w:lineRule="auto"/>
        <w:jc w:val="both"/>
        <w:rPr>
          <w:rFonts w:ascii="Arial" w:eastAsia="Arial" w:hAnsi="Arial" w:cs="Arial"/>
          <w:sz w:val="20"/>
          <w:szCs w:val="20"/>
        </w:rPr>
      </w:pPr>
      <w:r>
        <w:rPr>
          <w:rFonts w:ascii="Arial" w:hAnsi="Arial"/>
          <w:sz w:val="20"/>
        </w:rPr>
        <w:t>Plan on profit distribution for 2024:</w:t>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lastRenderedPageBreak/>
        <w:t>Dividend payment of 2024:</w:t>
      </w:r>
      <w:bookmarkStart w:id="0" w:name="_GoBack"/>
      <w:bookmarkEnd w:id="0"/>
      <w:r>
        <w:rPr>
          <w:rFonts w:ascii="Arial" w:hAnsi="Arial"/>
          <w:sz w:val="20"/>
        </w:rPr>
        <w:t xml:space="preserve"> Remaining profit after tax is fully paid in cash dividends to shareholders.</w:t>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Article 6: Approve the actual remuneration paid in 2023 and the planned remuneration for 2024 of the non-executive Bo</w:t>
      </w:r>
      <w:r>
        <w:rPr>
          <w:rFonts w:ascii="Arial" w:hAnsi="Arial"/>
          <w:sz w:val="20"/>
        </w:rPr>
        <w:t>ard of Directors and Supervisory Board as follows:</w:t>
      </w:r>
    </w:p>
    <w:tbl>
      <w:tblPr>
        <w:tblStyle w:val="a0"/>
        <w:tblW w:w="9016" w:type="dxa"/>
        <w:tblLayout w:type="fixed"/>
        <w:tblLook w:val="0000" w:firstRow="0" w:lastRow="0" w:firstColumn="0" w:lastColumn="0" w:noHBand="0" w:noVBand="0"/>
      </w:tblPr>
      <w:tblGrid>
        <w:gridCol w:w="696"/>
        <w:gridCol w:w="2741"/>
        <w:gridCol w:w="3201"/>
        <w:gridCol w:w="2378"/>
      </w:tblGrid>
      <w:tr w:rsidR="00B66697">
        <w:trPr>
          <w:trHeight w:val="671"/>
        </w:trPr>
        <w:tc>
          <w:tcPr>
            <w:tcW w:w="696"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No.</w:t>
            </w:r>
          </w:p>
        </w:tc>
        <w:tc>
          <w:tcPr>
            <w:tcW w:w="2741"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Position</w:t>
            </w:r>
          </w:p>
        </w:tc>
        <w:tc>
          <w:tcPr>
            <w:tcW w:w="3201" w:type="dxa"/>
            <w:tcBorders>
              <w:top w:val="single" w:sz="4" w:space="0" w:color="000000"/>
              <w:lef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Remuneration paid in 2023 (VND/month)</w:t>
            </w:r>
          </w:p>
        </w:tc>
        <w:tc>
          <w:tcPr>
            <w:tcW w:w="2378" w:type="dxa"/>
            <w:tcBorders>
              <w:top w:val="single" w:sz="4" w:space="0" w:color="000000"/>
              <w:left w:val="single" w:sz="4" w:space="0" w:color="000000"/>
              <w:right w:val="single" w:sz="4" w:space="0" w:color="000000"/>
            </w:tcBorders>
            <w:tcMar>
              <w:top w:w="0" w:type="dxa"/>
              <w:bottom w:w="0" w:type="dxa"/>
            </w:tcMar>
            <w:vAlign w:val="bottom"/>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Planned remuneration for 2024 (VND/month)</w:t>
            </w:r>
          </w:p>
        </w:tc>
      </w:tr>
      <w:tr w:rsidR="00B66697">
        <w:trPr>
          <w:trHeight w:val="379"/>
        </w:trPr>
        <w:tc>
          <w:tcPr>
            <w:tcW w:w="696"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1</w:t>
            </w:r>
          </w:p>
        </w:tc>
        <w:tc>
          <w:tcPr>
            <w:tcW w:w="2741"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Chair of the Board of Directors</w:t>
            </w:r>
          </w:p>
        </w:tc>
        <w:tc>
          <w:tcPr>
            <w:tcW w:w="3201"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5,000,000</w:t>
            </w:r>
          </w:p>
        </w:tc>
        <w:tc>
          <w:tcPr>
            <w:tcW w:w="2378" w:type="dxa"/>
            <w:tcBorders>
              <w:top w:val="single" w:sz="4" w:space="0" w:color="000000"/>
              <w:left w:val="single" w:sz="4" w:space="0" w:color="000000"/>
              <w:righ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4,000,000</w:t>
            </w:r>
          </w:p>
        </w:tc>
      </w:tr>
      <w:tr w:rsidR="00B66697">
        <w:trPr>
          <w:trHeight w:val="379"/>
        </w:trPr>
        <w:tc>
          <w:tcPr>
            <w:tcW w:w="696"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2</w:t>
            </w:r>
          </w:p>
        </w:tc>
        <w:tc>
          <w:tcPr>
            <w:tcW w:w="2741"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Member of the Board of Directors</w:t>
            </w:r>
          </w:p>
        </w:tc>
        <w:tc>
          <w:tcPr>
            <w:tcW w:w="3201"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4,000,000</w:t>
            </w:r>
          </w:p>
        </w:tc>
        <w:tc>
          <w:tcPr>
            <w:tcW w:w="2378" w:type="dxa"/>
            <w:tcBorders>
              <w:top w:val="single" w:sz="4" w:space="0" w:color="000000"/>
              <w:left w:val="single" w:sz="4" w:space="0" w:color="000000"/>
              <w:righ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3,000,000</w:t>
            </w:r>
          </w:p>
        </w:tc>
      </w:tr>
      <w:tr w:rsidR="00B66697">
        <w:trPr>
          <w:trHeight w:val="375"/>
        </w:trPr>
        <w:tc>
          <w:tcPr>
            <w:tcW w:w="696"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3</w:t>
            </w:r>
          </w:p>
        </w:tc>
        <w:tc>
          <w:tcPr>
            <w:tcW w:w="2741"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Chief of the Supervisory Board</w:t>
            </w:r>
          </w:p>
        </w:tc>
        <w:tc>
          <w:tcPr>
            <w:tcW w:w="3201" w:type="dxa"/>
            <w:tcBorders>
              <w:top w:val="single" w:sz="4" w:space="0" w:color="000000"/>
              <w:lef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4,000,000</w:t>
            </w:r>
          </w:p>
        </w:tc>
        <w:tc>
          <w:tcPr>
            <w:tcW w:w="2378" w:type="dxa"/>
            <w:tcBorders>
              <w:top w:val="single" w:sz="4" w:space="0" w:color="000000"/>
              <w:left w:val="single" w:sz="4" w:space="0" w:color="000000"/>
              <w:righ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3,000,000</w:t>
            </w:r>
          </w:p>
        </w:tc>
      </w:tr>
      <w:tr w:rsidR="00B66697">
        <w:trPr>
          <w:trHeight w:val="404"/>
        </w:trPr>
        <w:tc>
          <w:tcPr>
            <w:tcW w:w="696" w:type="dxa"/>
            <w:tcBorders>
              <w:top w:val="single" w:sz="4" w:space="0" w:color="000000"/>
              <w:left w:val="single" w:sz="4" w:space="0" w:color="000000"/>
              <w:bottom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ind w:firstLine="360"/>
              <w:rPr>
                <w:rFonts w:ascii="Arial" w:eastAsia="Arial" w:hAnsi="Arial" w:cs="Arial"/>
                <w:sz w:val="20"/>
                <w:szCs w:val="20"/>
              </w:rPr>
            </w:pPr>
            <w:r>
              <w:rPr>
                <w:rFonts w:ascii="Arial" w:hAnsi="Arial"/>
                <w:sz w:val="20"/>
              </w:rPr>
              <w:t>4</w:t>
            </w:r>
          </w:p>
        </w:tc>
        <w:tc>
          <w:tcPr>
            <w:tcW w:w="2741" w:type="dxa"/>
            <w:tcBorders>
              <w:top w:val="single" w:sz="4" w:space="0" w:color="000000"/>
              <w:left w:val="single" w:sz="4" w:space="0" w:color="000000"/>
              <w:bottom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Members of the Supervisory Board:</w:t>
            </w:r>
          </w:p>
        </w:tc>
        <w:tc>
          <w:tcPr>
            <w:tcW w:w="3201" w:type="dxa"/>
            <w:tcBorders>
              <w:top w:val="single" w:sz="4" w:space="0" w:color="000000"/>
              <w:left w:val="single" w:sz="4" w:space="0" w:color="000000"/>
              <w:bottom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3,000,000</w:t>
            </w:r>
          </w:p>
        </w:tc>
        <w:tc>
          <w:tcPr>
            <w:tcW w:w="237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2,000,000</w:t>
            </w:r>
          </w:p>
        </w:tc>
      </w:tr>
    </w:tbl>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Article 7: </w:t>
      </w:r>
      <w:r>
        <w:rPr>
          <w:rFonts w:ascii="Arial" w:hAnsi="Arial"/>
          <w:sz w:val="20"/>
        </w:rPr>
        <w:t xml:space="preserve">Approve the Report on the activities of the Supervisory Board at the General Meeting of Shareholders and the Proposal of the Supervisory Board on authorizing the Board of Directors to select one of the following Companies to audit the Financial Statements </w:t>
      </w:r>
      <w:r>
        <w:rPr>
          <w:rFonts w:ascii="Arial" w:hAnsi="Arial"/>
          <w:sz w:val="20"/>
        </w:rPr>
        <w:t>for the fiscal year 2024 of the Company (listed in alphabetical order of abbreviations):</w:t>
      </w:r>
    </w:p>
    <w:p w:rsidR="00B66697" w:rsidRDefault="00304D68" w:rsidP="00C67A7F">
      <w:pPr>
        <w:numPr>
          <w:ilvl w:val="0"/>
          <w:numId w:val="2"/>
        </w:numPr>
        <w:pBdr>
          <w:top w:val="nil"/>
          <w:left w:val="nil"/>
          <w:bottom w:val="nil"/>
          <w:right w:val="nil"/>
          <w:between w:val="nil"/>
        </w:pBdr>
        <w:tabs>
          <w:tab w:val="left" w:pos="270"/>
        </w:tabs>
        <w:spacing w:after="120" w:line="360" w:lineRule="auto"/>
        <w:jc w:val="both"/>
        <w:rPr>
          <w:rFonts w:ascii="Arial" w:eastAsia="Arial" w:hAnsi="Arial" w:cs="Arial"/>
          <w:sz w:val="20"/>
          <w:szCs w:val="20"/>
        </w:rPr>
      </w:pPr>
      <w:r>
        <w:rPr>
          <w:rFonts w:ascii="Arial" w:hAnsi="Arial"/>
          <w:sz w:val="20"/>
        </w:rPr>
        <w:t>Ernst &amp; Young Vietnam Limited (EY Vietnam)</w:t>
      </w:r>
    </w:p>
    <w:p w:rsidR="00B66697" w:rsidRDefault="00304D68" w:rsidP="00C67A7F">
      <w:pPr>
        <w:numPr>
          <w:ilvl w:val="0"/>
          <w:numId w:val="2"/>
        </w:numPr>
        <w:pBdr>
          <w:top w:val="nil"/>
          <w:left w:val="nil"/>
          <w:bottom w:val="nil"/>
          <w:right w:val="nil"/>
          <w:between w:val="nil"/>
        </w:pBdr>
        <w:tabs>
          <w:tab w:val="left" w:pos="270"/>
        </w:tabs>
        <w:spacing w:after="120" w:line="360" w:lineRule="auto"/>
        <w:jc w:val="both"/>
        <w:rPr>
          <w:rFonts w:ascii="Arial" w:eastAsia="Arial" w:hAnsi="Arial" w:cs="Arial"/>
          <w:sz w:val="20"/>
          <w:szCs w:val="20"/>
        </w:rPr>
      </w:pPr>
      <w:r>
        <w:rPr>
          <w:rFonts w:ascii="Arial" w:hAnsi="Arial"/>
          <w:sz w:val="20"/>
        </w:rPr>
        <w:t>Deloitte Vietnam Company Limited (Deloitte Vietnam)</w:t>
      </w:r>
    </w:p>
    <w:p w:rsidR="00B66697" w:rsidRDefault="00304D68" w:rsidP="00C67A7F">
      <w:pPr>
        <w:numPr>
          <w:ilvl w:val="0"/>
          <w:numId w:val="2"/>
        </w:numPr>
        <w:pBdr>
          <w:top w:val="nil"/>
          <w:left w:val="nil"/>
          <w:bottom w:val="nil"/>
          <w:right w:val="nil"/>
          <w:between w:val="nil"/>
        </w:pBdr>
        <w:tabs>
          <w:tab w:val="left" w:pos="270"/>
        </w:tabs>
        <w:spacing w:after="120" w:line="360" w:lineRule="auto"/>
        <w:jc w:val="both"/>
        <w:rPr>
          <w:rFonts w:ascii="Arial" w:eastAsia="Arial" w:hAnsi="Arial" w:cs="Arial"/>
          <w:sz w:val="20"/>
          <w:szCs w:val="20"/>
        </w:rPr>
      </w:pPr>
      <w:r>
        <w:rPr>
          <w:rFonts w:ascii="Arial" w:hAnsi="Arial"/>
          <w:sz w:val="20"/>
        </w:rPr>
        <w:t>RSM Vietnam Company Limited (RSM Vietnam).</w:t>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Article 8: </w:t>
      </w:r>
      <w:r>
        <w:rPr>
          <w:rFonts w:ascii="Arial" w:hAnsi="Arial"/>
          <w:sz w:val="20"/>
        </w:rPr>
        <w:t>The General Meetin</w:t>
      </w:r>
      <w:r>
        <w:rPr>
          <w:rFonts w:ascii="Arial" w:hAnsi="Arial"/>
          <w:sz w:val="20"/>
        </w:rPr>
        <w:t>g unanimously:</w:t>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Dismiss the membership of the Board of Directors for the 2020-2025 </w:t>
      </w:r>
      <w:proofErr w:type="gramStart"/>
      <w:r>
        <w:rPr>
          <w:rFonts w:ascii="Arial" w:hAnsi="Arial"/>
          <w:sz w:val="20"/>
        </w:rPr>
        <w:t>term</w:t>
      </w:r>
      <w:proofErr w:type="gramEnd"/>
      <w:r>
        <w:rPr>
          <w:rFonts w:ascii="Arial" w:hAnsi="Arial"/>
          <w:sz w:val="20"/>
        </w:rPr>
        <w:t xml:space="preserve"> for Ms. Pham Thi Anh Thu and Mr. Dang Hong Truong.</w:t>
      </w:r>
    </w:p>
    <w:p w:rsidR="00B66697" w:rsidRDefault="00304D68" w:rsidP="00C67A7F">
      <w:pPr>
        <w:pBdr>
          <w:top w:val="nil"/>
          <w:left w:val="nil"/>
          <w:bottom w:val="nil"/>
          <w:right w:val="nil"/>
          <w:between w:val="nil"/>
        </w:pBdr>
        <w:tabs>
          <w:tab w:val="left" w:pos="5892"/>
        </w:tabs>
        <w:spacing w:after="120" w:line="360" w:lineRule="auto"/>
        <w:jc w:val="both"/>
        <w:rPr>
          <w:rFonts w:ascii="Arial" w:eastAsia="Arial" w:hAnsi="Arial" w:cs="Arial"/>
          <w:sz w:val="20"/>
          <w:szCs w:val="20"/>
        </w:rPr>
      </w:pPr>
      <w:r>
        <w:rPr>
          <w:rFonts w:ascii="Arial" w:hAnsi="Arial"/>
          <w:sz w:val="20"/>
        </w:rPr>
        <w:t xml:space="preserve">Article 9: </w:t>
      </w:r>
      <w:r>
        <w:rPr>
          <w:rFonts w:ascii="Arial" w:hAnsi="Arial"/>
          <w:sz w:val="20"/>
        </w:rPr>
        <w:t>The General Meeting unanimously:</w:t>
      </w:r>
      <w:r>
        <w:rPr>
          <w:rFonts w:ascii="Arial" w:hAnsi="Arial"/>
          <w:sz w:val="20"/>
        </w:rPr>
        <w:tab/>
      </w:r>
    </w:p>
    <w:p w:rsidR="00B66697" w:rsidRDefault="00304D68" w:rsidP="00C67A7F">
      <w:pPr>
        <w:pBdr>
          <w:top w:val="nil"/>
          <w:left w:val="nil"/>
          <w:bottom w:val="nil"/>
          <w:right w:val="nil"/>
          <w:between w:val="nil"/>
        </w:pBdr>
        <w:tabs>
          <w:tab w:val="left" w:pos="5892"/>
        </w:tabs>
        <w:spacing w:after="120" w:line="360" w:lineRule="auto"/>
        <w:jc w:val="both"/>
        <w:rPr>
          <w:rFonts w:ascii="Arial" w:eastAsia="Arial" w:hAnsi="Arial" w:cs="Arial"/>
          <w:sz w:val="20"/>
          <w:szCs w:val="20"/>
        </w:rPr>
      </w:pPr>
      <w:r>
        <w:rPr>
          <w:rFonts w:ascii="Arial" w:hAnsi="Arial"/>
          <w:sz w:val="20"/>
        </w:rPr>
        <w:t>Elect 02 additional member of the Board of Directors for the term 2020-2025.</w:t>
      </w:r>
      <w:r>
        <w:rPr>
          <w:rFonts w:ascii="Arial" w:hAnsi="Arial"/>
          <w:sz w:val="20"/>
        </w:rPr>
        <w:tab/>
      </w:r>
    </w:p>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The results of electing 02 additional members to the Board of Directors for the 2020-2025 </w:t>
      </w:r>
      <w:proofErr w:type="gramStart"/>
      <w:r>
        <w:rPr>
          <w:rFonts w:ascii="Arial" w:hAnsi="Arial"/>
          <w:sz w:val="20"/>
        </w:rPr>
        <w:t>term</w:t>
      </w:r>
      <w:proofErr w:type="gramEnd"/>
      <w:r>
        <w:rPr>
          <w:rFonts w:ascii="Arial" w:hAnsi="Arial"/>
          <w:sz w:val="20"/>
        </w:rPr>
        <w:t xml:space="preserve"> by the method of cumulative voting are as follows:</w:t>
      </w:r>
    </w:p>
    <w:tbl>
      <w:tblPr>
        <w:tblStyle w:val="a1"/>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80"/>
        <w:gridCol w:w="8100"/>
      </w:tblGrid>
      <w:tr w:rsidR="00B66697">
        <w:trPr>
          <w:trHeight w:val="702"/>
        </w:trPr>
        <w:tc>
          <w:tcPr>
            <w:tcW w:w="780" w:type="dxa"/>
            <w:tcBorders>
              <w:top w:val="single" w:sz="8" w:space="0" w:color="000000"/>
              <w:left w:val="single" w:sz="8"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No.</w:t>
            </w:r>
          </w:p>
        </w:tc>
        <w:tc>
          <w:tcPr>
            <w:tcW w:w="8100" w:type="dxa"/>
            <w:tcBorders>
              <w:top w:val="single" w:sz="8" w:space="0" w:color="000000"/>
              <w:left w:val="single" w:sz="8" w:space="0" w:color="000000"/>
            </w:tcBorders>
            <w:tcMar>
              <w:top w:w="0" w:type="dxa"/>
              <w:bottom w:w="0" w:type="dxa"/>
            </w:tcMar>
            <w:vAlign w:val="cente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Full name</w:t>
            </w:r>
          </w:p>
        </w:tc>
      </w:tr>
      <w:tr w:rsidR="00B66697">
        <w:trPr>
          <w:trHeight w:val="231"/>
        </w:trPr>
        <w:tc>
          <w:tcPr>
            <w:tcW w:w="780" w:type="dxa"/>
            <w:tcBorders>
              <w:top w:val="single" w:sz="8" w:space="0" w:color="000000"/>
              <w:left w:val="single" w:sz="8"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1</w:t>
            </w:r>
          </w:p>
        </w:tc>
        <w:tc>
          <w:tcPr>
            <w:tcW w:w="8100" w:type="dxa"/>
            <w:tcBorders>
              <w:top w:val="single" w:sz="8" w:space="0" w:color="000000"/>
              <w:left w:val="single" w:sz="8"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Dinh Hong Ha</w:t>
            </w:r>
          </w:p>
        </w:tc>
      </w:tr>
      <w:tr w:rsidR="00B66697">
        <w:trPr>
          <w:trHeight w:val="266"/>
        </w:trPr>
        <w:tc>
          <w:tcPr>
            <w:tcW w:w="780" w:type="dxa"/>
            <w:tcBorders>
              <w:top w:val="single" w:sz="8" w:space="0" w:color="000000"/>
              <w:left w:val="single" w:sz="8" w:space="0" w:color="000000"/>
              <w:bottom w:val="single" w:sz="8"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2</w:t>
            </w:r>
          </w:p>
        </w:tc>
        <w:tc>
          <w:tcPr>
            <w:tcW w:w="8100" w:type="dxa"/>
            <w:tcBorders>
              <w:top w:val="single" w:sz="8" w:space="0" w:color="000000"/>
              <w:left w:val="single" w:sz="8" w:space="0" w:color="000000"/>
              <w:bottom w:val="single" w:sz="8" w:space="0" w:color="000000"/>
            </w:tcBorders>
            <w:tcMar>
              <w:top w:w="0" w:type="dxa"/>
              <w:bottom w:w="0" w:type="dxa"/>
            </w:tcMar>
          </w:tcPr>
          <w:p w:rsidR="00B66697" w:rsidRDefault="00304D68">
            <w:pPr>
              <w:pBdr>
                <w:top w:val="nil"/>
                <w:left w:val="nil"/>
                <w:bottom w:val="nil"/>
                <w:right w:val="nil"/>
                <w:between w:val="nil"/>
              </w:pBdr>
              <w:spacing w:after="120" w:line="360" w:lineRule="auto"/>
              <w:rPr>
                <w:rFonts w:ascii="Arial" w:eastAsia="Arial" w:hAnsi="Arial" w:cs="Arial"/>
                <w:sz w:val="20"/>
                <w:szCs w:val="20"/>
              </w:rPr>
            </w:pPr>
            <w:r>
              <w:rPr>
                <w:rFonts w:ascii="Arial" w:hAnsi="Arial"/>
                <w:sz w:val="20"/>
              </w:rPr>
              <w:t>Tran Dang Dan Tran</w:t>
            </w:r>
          </w:p>
        </w:tc>
      </w:tr>
    </w:tbl>
    <w:p w:rsidR="00B66697" w:rsidRDefault="00304D68" w:rsidP="00C67A7F">
      <w:pPr>
        <w:pBdr>
          <w:top w:val="nil"/>
          <w:left w:val="nil"/>
          <w:bottom w:val="nil"/>
          <w:right w:val="nil"/>
          <w:between w:val="nil"/>
        </w:pBdr>
        <w:spacing w:after="120" w:line="360" w:lineRule="auto"/>
        <w:jc w:val="both"/>
        <w:rPr>
          <w:rFonts w:ascii="Arial" w:eastAsia="Arial" w:hAnsi="Arial" w:cs="Arial"/>
          <w:sz w:val="20"/>
          <w:szCs w:val="20"/>
        </w:rPr>
      </w:pPr>
      <w:r>
        <w:rPr>
          <w:rFonts w:ascii="Arial" w:hAnsi="Arial"/>
          <w:sz w:val="20"/>
        </w:rPr>
        <w:t xml:space="preserve">Article 10: </w:t>
      </w:r>
      <w:r>
        <w:rPr>
          <w:rFonts w:ascii="Arial" w:hAnsi="Arial"/>
          <w:sz w:val="20"/>
        </w:rPr>
        <w:t>This General Mandate was approved by the Annual General Meeting of Shareholders 2024 and takes effect from 11:21 am on April 26, 2024.</w:t>
      </w:r>
    </w:p>
    <w:p w:rsidR="00B66697" w:rsidRDefault="00B66697">
      <w:pPr>
        <w:pBdr>
          <w:top w:val="nil"/>
          <w:left w:val="nil"/>
          <w:bottom w:val="nil"/>
          <w:right w:val="nil"/>
          <w:between w:val="nil"/>
        </w:pBdr>
        <w:spacing w:after="120" w:line="360" w:lineRule="auto"/>
        <w:rPr>
          <w:rFonts w:ascii="Arial" w:eastAsia="Arial" w:hAnsi="Arial" w:cs="Arial"/>
          <w:color w:val="360309"/>
          <w:sz w:val="20"/>
          <w:szCs w:val="20"/>
        </w:rPr>
      </w:pPr>
    </w:p>
    <w:sectPr w:rsidR="00B66697">
      <w:pgSz w:w="11906" w:h="16838"/>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60EBE"/>
    <w:multiLevelType w:val="multilevel"/>
    <w:tmpl w:val="A912B89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2273ECD"/>
    <w:multiLevelType w:val="multilevel"/>
    <w:tmpl w:val="DF1007B4"/>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6C14672"/>
    <w:multiLevelType w:val="multilevel"/>
    <w:tmpl w:val="A26C7C8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B66697"/>
    <w:rsid w:val="00304D68"/>
    <w:rsid w:val="00B66697"/>
    <w:rsid w:val="00C6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18"/>
      <w:szCs w:val="1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360309"/>
      <w:sz w:val="11"/>
      <w:szCs w:val="11"/>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5"/>
      <w:szCs w:val="15"/>
      <w:u w:val="none"/>
      <w:shd w:val="clear" w:color="auto" w:fill="auto"/>
    </w:rPr>
  </w:style>
  <w:style w:type="paragraph" w:customStyle="1" w:styleId="Bodytext30">
    <w:name w:val="Body text (3)"/>
    <w:basedOn w:val="Normal"/>
    <w:link w:val="Bodytext3"/>
    <w:pPr>
      <w:spacing w:line="293" w:lineRule="auto"/>
      <w:ind w:left="230"/>
    </w:pPr>
    <w:rPr>
      <w:rFonts w:ascii="Times New Roman" w:eastAsia="Times New Roman" w:hAnsi="Times New Roman" w:cs="Times New Roman"/>
      <w:sz w:val="18"/>
      <w:szCs w:val="18"/>
    </w:rPr>
  </w:style>
  <w:style w:type="paragraph" w:customStyle="1" w:styleId="Bodytext50">
    <w:name w:val="Body text (5)"/>
    <w:basedOn w:val="Normal"/>
    <w:link w:val="Bodytext5"/>
    <w:pPr>
      <w:ind w:left="480"/>
      <w:jc w:val="right"/>
    </w:pPr>
    <w:rPr>
      <w:rFonts w:ascii="Arial" w:eastAsia="Arial" w:hAnsi="Arial" w:cs="Arial"/>
      <w:sz w:val="18"/>
      <w:szCs w:val="18"/>
    </w:rPr>
  </w:style>
  <w:style w:type="paragraph" w:styleId="BodyText">
    <w:name w:val="Body Text"/>
    <w:basedOn w:val="Normal"/>
    <w:link w:val="BodyTextChar"/>
    <w:qFormat/>
    <w:pPr>
      <w:spacing w:line="262" w:lineRule="auto"/>
      <w:ind w:firstLine="20"/>
    </w:pPr>
    <w:rPr>
      <w:rFonts w:ascii="Times New Roman" w:eastAsia="Times New Roman" w:hAnsi="Times New Roman" w:cs="Times New Roman"/>
      <w:sz w:val="18"/>
      <w:szCs w:val="18"/>
    </w:rPr>
  </w:style>
  <w:style w:type="paragraph" w:customStyle="1" w:styleId="Heading11">
    <w:name w:val="Heading #1"/>
    <w:basedOn w:val="Normal"/>
    <w:link w:val="Heading10"/>
    <w:pPr>
      <w:jc w:val="center"/>
      <w:outlineLvl w:val="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182" w:lineRule="auto"/>
    </w:pPr>
    <w:rPr>
      <w:rFonts w:ascii="Arial" w:eastAsia="Arial" w:hAnsi="Arial" w:cs="Arial"/>
      <w:sz w:val="8"/>
      <w:szCs w:val="8"/>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20"/>
      <w:szCs w:val="20"/>
    </w:rPr>
  </w:style>
  <w:style w:type="paragraph" w:customStyle="1" w:styleId="Tablecaption0">
    <w:name w:val="Table caption"/>
    <w:basedOn w:val="Normal"/>
    <w:link w:val="Tablecaption"/>
    <w:pPr>
      <w:spacing w:line="257" w:lineRule="auto"/>
      <w:ind w:left="660" w:hanging="660"/>
    </w:pPr>
    <w:rPr>
      <w:rFonts w:ascii="Times New Roman" w:eastAsia="Times New Roman" w:hAnsi="Times New Roman" w:cs="Times New Roman"/>
      <w:sz w:val="18"/>
      <w:szCs w:val="18"/>
    </w:rPr>
  </w:style>
  <w:style w:type="paragraph" w:customStyle="1" w:styleId="Other0">
    <w:name w:val="Other"/>
    <w:basedOn w:val="Normal"/>
    <w:link w:val="Other"/>
    <w:pPr>
      <w:spacing w:line="262" w:lineRule="auto"/>
      <w:ind w:firstLine="20"/>
    </w:pPr>
    <w:rPr>
      <w:rFonts w:ascii="Times New Roman" w:eastAsia="Times New Roman" w:hAnsi="Times New Roman" w:cs="Times New Roman"/>
      <w:sz w:val="18"/>
      <w:szCs w:val="18"/>
    </w:rPr>
  </w:style>
  <w:style w:type="paragraph" w:customStyle="1" w:styleId="Bodytext60">
    <w:name w:val="Body text (6)"/>
    <w:basedOn w:val="Normal"/>
    <w:link w:val="Bodytext6"/>
    <w:rPr>
      <w:rFonts w:ascii="Arial" w:eastAsia="Arial" w:hAnsi="Arial" w:cs="Arial"/>
      <w:color w:val="360309"/>
      <w:sz w:val="11"/>
      <w:szCs w:val="11"/>
    </w:rPr>
  </w:style>
  <w:style w:type="paragraph" w:customStyle="1" w:styleId="Bodytext40">
    <w:name w:val="Body text (4)"/>
    <w:basedOn w:val="Normal"/>
    <w:link w:val="Bodytext4"/>
    <w:pPr>
      <w:ind w:firstLine="920"/>
    </w:pPr>
    <w:rPr>
      <w:rFonts w:ascii="Times New Roman" w:eastAsia="Times New Roman" w:hAnsi="Times New Roman" w:cs="Times New Roman"/>
      <w:i/>
      <w:iCs/>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18"/>
      <w:szCs w:val="1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color w:val="360309"/>
      <w:sz w:val="11"/>
      <w:szCs w:val="11"/>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5"/>
      <w:szCs w:val="15"/>
      <w:u w:val="none"/>
      <w:shd w:val="clear" w:color="auto" w:fill="auto"/>
    </w:rPr>
  </w:style>
  <w:style w:type="paragraph" w:customStyle="1" w:styleId="Bodytext30">
    <w:name w:val="Body text (3)"/>
    <w:basedOn w:val="Normal"/>
    <w:link w:val="Bodytext3"/>
    <w:pPr>
      <w:spacing w:line="293" w:lineRule="auto"/>
      <w:ind w:left="230"/>
    </w:pPr>
    <w:rPr>
      <w:rFonts w:ascii="Times New Roman" w:eastAsia="Times New Roman" w:hAnsi="Times New Roman" w:cs="Times New Roman"/>
      <w:sz w:val="18"/>
      <w:szCs w:val="18"/>
    </w:rPr>
  </w:style>
  <w:style w:type="paragraph" w:customStyle="1" w:styleId="Bodytext50">
    <w:name w:val="Body text (5)"/>
    <w:basedOn w:val="Normal"/>
    <w:link w:val="Bodytext5"/>
    <w:pPr>
      <w:ind w:left="480"/>
      <w:jc w:val="right"/>
    </w:pPr>
    <w:rPr>
      <w:rFonts w:ascii="Arial" w:eastAsia="Arial" w:hAnsi="Arial" w:cs="Arial"/>
      <w:sz w:val="18"/>
      <w:szCs w:val="18"/>
    </w:rPr>
  </w:style>
  <w:style w:type="paragraph" w:styleId="BodyText">
    <w:name w:val="Body Text"/>
    <w:basedOn w:val="Normal"/>
    <w:link w:val="BodyTextChar"/>
    <w:qFormat/>
    <w:pPr>
      <w:spacing w:line="262" w:lineRule="auto"/>
      <w:ind w:firstLine="20"/>
    </w:pPr>
    <w:rPr>
      <w:rFonts w:ascii="Times New Roman" w:eastAsia="Times New Roman" w:hAnsi="Times New Roman" w:cs="Times New Roman"/>
      <w:sz w:val="18"/>
      <w:szCs w:val="18"/>
    </w:rPr>
  </w:style>
  <w:style w:type="paragraph" w:customStyle="1" w:styleId="Heading11">
    <w:name w:val="Heading #1"/>
    <w:basedOn w:val="Normal"/>
    <w:link w:val="Heading10"/>
    <w:pPr>
      <w:jc w:val="center"/>
      <w:outlineLvl w:val="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182" w:lineRule="auto"/>
    </w:pPr>
    <w:rPr>
      <w:rFonts w:ascii="Arial" w:eastAsia="Arial" w:hAnsi="Arial" w:cs="Arial"/>
      <w:sz w:val="8"/>
      <w:szCs w:val="8"/>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sz w:val="20"/>
      <w:szCs w:val="20"/>
    </w:rPr>
  </w:style>
  <w:style w:type="paragraph" w:customStyle="1" w:styleId="Tablecaption0">
    <w:name w:val="Table caption"/>
    <w:basedOn w:val="Normal"/>
    <w:link w:val="Tablecaption"/>
    <w:pPr>
      <w:spacing w:line="257" w:lineRule="auto"/>
      <w:ind w:left="660" w:hanging="660"/>
    </w:pPr>
    <w:rPr>
      <w:rFonts w:ascii="Times New Roman" w:eastAsia="Times New Roman" w:hAnsi="Times New Roman" w:cs="Times New Roman"/>
      <w:sz w:val="18"/>
      <w:szCs w:val="18"/>
    </w:rPr>
  </w:style>
  <w:style w:type="paragraph" w:customStyle="1" w:styleId="Other0">
    <w:name w:val="Other"/>
    <w:basedOn w:val="Normal"/>
    <w:link w:val="Other"/>
    <w:pPr>
      <w:spacing w:line="262" w:lineRule="auto"/>
      <w:ind w:firstLine="20"/>
    </w:pPr>
    <w:rPr>
      <w:rFonts w:ascii="Times New Roman" w:eastAsia="Times New Roman" w:hAnsi="Times New Roman" w:cs="Times New Roman"/>
      <w:sz w:val="18"/>
      <w:szCs w:val="18"/>
    </w:rPr>
  </w:style>
  <w:style w:type="paragraph" w:customStyle="1" w:styleId="Bodytext60">
    <w:name w:val="Body text (6)"/>
    <w:basedOn w:val="Normal"/>
    <w:link w:val="Bodytext6"/>
    <w:rPr>
      <w:rFonts w:ascii="Arial" w:eastAsia="Arial" w:hAnsi="Arial" w:cs="Arial"/>
      <w:color w:val="360309"/>
      <w:sz w:val="11"/>
      <w:szCs w:val="11"/>
    </w:rPr>
  </w:style>
  <w:style w:type="paragraph" w:customStyle="1" w:styleId="Bodytext40">
    <w:name w:val="Body text (4)"/>
    <w:basedOn w:val="Normal"/>
    <w:link w:val="Bodytext4"/>
    <w:pPr>
      <w:ind w:firstLine="920"/>
    </w:pPr>
    <w:rPr>
      <w:rFonts w:ascii="Times New Roman" w:eastAsia="Times New Roman" w:hAnsi="Times New Roman" w:cs="Times New Roman"/>
      <w:i/>
      <w:iCs/>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Fkje8THCDwZfHOWc64vgsSUmIQ==">CgMxLjA4AHIhMUQxQ3hRQzJ6S3NZLTF1NVhGaG13dkptb1FiWURXWWZN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2752</Characters>
  <Application>Microsoft Office Word</Application>
  <DocSecurity>0</DocSecurity>
  <Lines>22</Lines>
  <Paragraphs>6</Paragraphs>
  <ScaleCrop>false</ScaleCrop>
  <Company>Hewlett-Packard Company</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2024-05-06T06:33:00Z</dcterms:created>
  <dcterms:modified xsi:type="dcterms:W3CDTF">2024-05-07T08:34:00Z</dcterms:modified>
</cp:coreProperties>
</file>