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7E" w:rsidRPr="001C374F" w:rsidRDefault="001C374F" w:rsidP="00672EC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TMW: Annual General Mandate 2024</w:t>
      </w:r>
    </w:p>
    <w:p w:rsidR="00D76E7E" w:rsidRPr="001C374F" w:rsidRDefault="001C374F" w:rsidP="00672EC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26, 2024, Tan Mai General Wood JSC announced General Mandate No. 01/2024/NQ.DHDCD.GTM as follows:</w:t>
      </w:r>
    </w:p>
    <w:p w:rsidR="00D76E7E" w:rsidRPr="001C374F" w:rsidRDefault="001C374F" w:rsidP="00672E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the report on activities of the Board of Directors in 2023 and the plan fo</w:t>
      </w:r>
      <w:r w:rsidR="009D3498">
        <w:rPr>
          <w:rFonts w:ascii="Arial" w:hAnsi="Arial"/>
          <w:color w:val="010000"/>
          <w:sz w:val="20"/>
        </w:rPr>
        <w:t>r 2024 of the Executive Board:</w:t>
      </w:r>
    </w:p>
    <w:p w:rsidR="00D76E7E" w:rsidRPr="00A06B27" w:rsidRDefault="001C374F" w:rsidP="001C37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A06B27">
        <w:rPr>
          <w:rFonts w:ascii="Arial" w:hAnsi="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435"/>
        <w:gridCol w:w="587"/>
        <w:gridCol w:w="873"/>
        <w:gridCol w:w="1124"/>
        <w:gridCol w:w="1133"/>
        <w:gridCol w:w="1321"/>
        <w:gridCol w:w="1032"/>
      </w:tblGrid>
      <w:tr w:rsidR="00D76E7E" w:rsidRPr="00A06B27" w:rsidTr="001C374F">
        <w:tc>
          <w:tcPr>
            <w:tcW w:w="3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No.</w:t>
            </w: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Targets</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Unit</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Plan in</w:t>
            </w:r>
          </w:p>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2023</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Results of 2023</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Results of 2022</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%Results/Plan</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Results/ Same period</w:t>
            </w:r>
          </w:p>
        </w:tc>
      </w:tr>
      <w:tr w:rsidR="00D76E7E" w:rsidRPr="00A06B27" w:rsidTr="001C374F">
        <w:tc>
          <w:tcPr>
            <w:tcW w:w="3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w:t>
            </w: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Total revenue</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30,000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93,590</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46,839</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312%</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199%</w:t>
            </w: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Style w:val="ListParagraph"/>
              <w:numPr>
                <w:ilvl w:val="0"/>
                <w:numId w:val="8"/>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A06B27">
              <w:rPr>
                <w:rFonts w:ascii="Arial" w:hAnsi="Arial"/>
                <w:color w:val="010000"/>
                <w:sz w:val="20"/>
              </w:rPr>
              <w:t>Net revenue</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30,000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91,860</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45,677</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306%</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201%</w:t>
            </w: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06B27">
              <w:rPr>
                <w:rFonts w:ascii="Arial" w:hAnsi="Arial"/>
                <w:i/>
                <w:color w:val="010000"/>
                <w:sz w:val="20"/>
              </w:rPr>
              <w:t>In which: + Agricultural products</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51,033</w:t>
            </w:r>
          </w:p>
        </w:tc>
        <w:tc>
          <w:tcPr>
            <w:tcW w:w="639"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w:t>
            </w: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Style w:val="ListParagraph"/>
              <w:numPr>
                <w:ilvl w:val="0"/>
                <w:numId w:val="9"/>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i/>
                <w:color w:val="010000"/>
                <w:sz w:val="20"/>
                <w:szCs w:val="20"/>
              </w:rPr>
            </w:pPr>
            <w:r w:rsidRPr="00A06B27">
              <w:rPr>
                <w:rFonts w:ascii="Arial" w:hAnsi="Arial"/>
                <w:i/>
                <w:color w:val="010000"/>
                <w:sz w:val="20"/>
              </w:rPr>
              <w:t>Plywood</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16,000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21,897</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28,628</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137%</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76.49%</w:t>
            </w: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Style w:val="ListParagraph"/>
              <w:numPr>
                <w:ilvl w:val="0"/>
                <w:numId w:val="9"/>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i/>
                <w:color w:val="010000"/>
                <w:sz w:val="20"/>
                <w:szCs w:val="20"/>
              </w:rPr>
            </w:pPr>
            <w:r w:rsidRPr="00A06B27">
              <w:rPr>
                <w:rFonts w:ascii="Arial" w:hAnsi="Arial"/>
                <w:i/>
                <w:color w:val="010000"/>
                <w:sz w:val="20"/>
              </w:rPr>
              <w:t>Storage for rent</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14,000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18,930</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16,969</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135%</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111.5%</w:t>
            </w: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Style w:val="ListParagraph"/>
              <w:numPr>
                <w:ilvl w:val="0"/>
                <w:numId w:val="9"/>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i/>
                <w:color w:val="010000"/>
                <w:sz w:val="20"/>
                <w:szCs w:val="20"/>
              </w:rPr>
            </w:pPr>
            <w:r w:rsidRPr="00A06B27">
              <w:rPr>
                <w:rFonts w:ascii="Arial" w:hAnsi="Arial"/>
                <w:i/>
                <w:color w:val="010000"/>
                <w:sz w:val="20"/>
              </w:rPr>
              <w:t>Others</w:t>
            </w:r>
          </w:p>
        </w:tc>
        <w:tc>
          <w:tcPr>
            <w:tcW w:w="335"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498"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A06B27">
              <w:rPr>
                <w:rFonts w:ascii="Arial" w:hAnsi="Arial"/>
                <w:i/>
                <w:color w:val="010000"/>
                <w:sz w:val="20"/>
              </w:rPr>
              <w:t>80</w:t>
            </w:r>
          </w:p>
        </w:tc>
        <w:tc>
          <w:tcPr>
            <w:tcW w:w="639"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c>
          <w:tcPr>
            <w:tcW w:w="584"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i/>
                <w:color w:val="010000"/>
                <w:sz w:val="20"/>
                <w:szCs w:val="20"/>
              </w:rPr>
            </w:pPr>
          </w:p>
        </w:tc>
      </w:tr>
      <w:tr w:rsidR="00D76E7E" w:rsidRPr="00A06B27" w:rsidTr="001C374F">
        <w:tc>
          <w:tcPr>
            <w:tcW w:w="3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b. Financial activity revenue, other revenue</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1,730</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1,162</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148.8%</w:t>
            </w:r>
          </w:p>
        </w:tc>
      </w:tr>
      <w:tr w:rsidR="00D76E7E" w:rsidRPr="00A06B27" w:rsidTr="001C374F">
        <w:tc>
          <w:tcPr>
            <w:tcW w:w="3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w:t>
            </w: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Profit before tax</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6,000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12,714</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7,886</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212%</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161%</w:t>
            </w:r>
          </w:p>
        </w:tc>
      </w:tr>
      <w:tr w:rsidR="00D76E7E" w:rsidRPr="00A06B27" w:rsidTr="001C374F">
        <w:tc>
          <w:tcPr>
            <w:tcW w:w="3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w:t>
            </w:r>
          </w:p>
        </w:tc>
        <w:tc>
          <w:tcPr>
            <w:tcW w:w="135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Payables to the State budget</w:t>
            </w:r>
          </w:p>
        </w:tc>
        <w:tc>
          <w:tcPr>
            <w:tcW w:w="335"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Million VND</w:t>
            </w:r>
          </w:p>
        </w:tc>
        <w:tc>
          <w:tcPr>
            <w:tcW w:w="498"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2,500</w:t>
            </w:r>
          </w:p>
        </w:tc>
        <w:tc>
          <w:tcPr>
            <w:tcW w:w="63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5,803</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4,480</w:t>
            </w:r>
          </w:p>
        </w:tc>
        <w:tc>
          <w:tcPr>
            <w:tcW w:w="639"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232%</w:t>
            </w:r>
          </w:p>
        </w:tc>
        <w:tc>
          <w:tcPr>
            <w:tcW w:w="584"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129.5%</w:t>
            </w:r>
          </w:p>
        </w:tc>
      </w:tr>
    </w:tbl>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The Company's plan in 2024 is as follows: Unit: Million VND</w:t>
      </w:r>
    </w:p>
    <w:p w:rsidR="00D76E7E" w:rsidRPr="00A06B27" w:rsidRDefault="001C374F" w:rsidP="001C374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B27">
        <w:rPr>
          <w:rFonts w:ascii="Arial" w:hAnsi="Arial"/>
          <w:color w:val="010000"/>
          <w:sz w:val="20"/>
        </w:rPr>
        <w:t>Revenue: 63,700, in which</w:t>
      </w:r>
    </w:p>
    <w:p w:rsidR="00D76E7E" w:rsidRPr="00A06B27"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Plywood: 16,000</w:t>
      </w:r>
    </w:p>
    <w:p w:rsidR="00D76E7E" w:rsidRPr="00A06B27"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Warehouses and factories for rent: 12,700</w:t>
      </w:r>
    </w:p>
    <w:p w:rsidR="00D76E7E" w:rsidRPr="00A06B27"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Agricultural products: 35,000</w:t>
      </w:r>
    </w:p>
    <w:p w:rsidR="00D76E7E" w:rsidRPr="00A06B27" w:rsidRDefault="001C374F" w:rsidP="001C374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B27">
        <w:rPr>
          <w:rFonts w:ascii="Arial" w:hAnsi="Arial"/>
          <w:color w:val="010000"/>
          <w:sz w:val="20"/>
        </w:rPr>
        <w:t>Profit before tax: 7,500</w:t>
      </w:r>
    </w:p>
    <w:p w:rsidR="00D76E7E" w:rsidRPr="00A06B27" w:rsidRDefault="001C374F" w:rsidP="001C374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B27">
        <w:rPr>
          <w:rFonts w:ascii="Arial" w:hAnsi="Arial"/>
          <w:color w:val="010000"/>
          <w:sz w:val="20"/>
        </w:rPr>
        <w:lastRenderedPageBreak/>
        <w:t>Profit after tax: 6,000</w:t>
      </w:r>
    </w:p>
    <w:p w:rsidR="00D76E7E" w:rsidRPr="00A06B27" w:rsidRDefault="001C374F" w:rsidP="001C374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B27">
        <w:rPr>
          <w:rFonts w:ascii="Arial" w:hAnsi="Arial"/>
          <w:color w:val="010000"/>
          <w:sz w:val="20"/>
        </w:rPr>
        <w:t>Payables to the State Budget: 3,000</w:t>
      </w:r>
    </w:p>
    <w:p w:rsidR="00D76E7E" w:rsidRPr="00A06B27" w:rsidRDefault="001C374F" w:rsidP="001C374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6B27">
        <w:rPr>
          <w:rFonts w:ascii="Arial" w:hAnsi="Arial"/>
          <w:color w:val="010000"/>
          <w:sz w:val="20"/>
        </w:rPr>
        <w:t>Expected dividend payment in 2024</w:t>
      </w:r>
      <w:r w:rsidR="009D3498" w:rsidRPr="00A06B27">
        <w:rPr>
          <w:rFonts w:ascii="Arial" w:hAnsi="Arial"/>
          <w:color w:val="010000"/>
          <w:sz w:val="20"/>
        </w:rPr>
        <w:t>:</w:t>
      </w:r>
      <w:r w:rsidRPr="00A06B27">
        <w:rPr>
          <w:rFonts w:ascii="Arial" w:hAnsi="Arial"/>
          <w:color w:val="010000"/>
          <w:sz w:val="20"/>
        </w:rPr>
        <w:t xml:space="preserve"> 10%</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the Board of Directors' Report on activities in 2023 and plans in </w:t>
      </w:r>
      <w:proofErr w:type="gramStart"/>
      <w:r>
        <w:rPr>
          <w:rFonts w:ascii="Arial" w:hAnsi="Arial"/>
          <w:color w:val="010000"/>
          <w:sz w:val="20"/>
        </w:rPr>
        <w:t>2024 .</w:t>
      </w:r>
      <w:proofErr w:type="gramEnd"/>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the report on activities of the Supervisory Board in 2023</w:t>
      </w:r>
    </w:p>
    <w:p w:rsidR="00B6574F" w:rsidRDefault="001C374F" w:rsidP="001C374F">
      <w:pPr>
        <w:pBdr>
          <w:top w:val="nil"/>
          <w:left w:val="nil"/>
          <w:bottom w:val="nil"/>
          <w:right w:val="nil"/>
          <w:between w:val="nil"/>
        </w:pBdr>
        <w:tabs>
          <w:tab w:val="left" w:pos="432"/>
        </w:tabs>
        <w:spacing w:after="120" w:line="360" w:lineRule="auto"/>
        <w:jc w:val="both"/>
        <w:rPr>
          <w:rFonts w:ascii="Arial" w:hAnsi="Arial"/>
          <w:color w:val="010000"/>
          <w:sz w:val="20"/>
        </w:rPr>
      </w:pPr>
      <w:proofErr w:type="gramStart"/>
      <w:r>
        <w:rPr>
          <w:rFonts w:ascii="Arial" w:hAnsi="Arial"/>
          <w:color w:val="010000"/>
          <w:sz w:val="20"/>
        </w:rPr>
        <w:t>‎‎Article 4.</w:t>
      </w:r>
      <w:proofErr w:type="gramEnd"/>
      <w:r>
        <w:rPr>
          <w:rFonts w:ascii="Arial" w:hAnsi="Arial"/>
          <w:color w:val="010000"/>
          <w:sz w:val="20"/>
        </w:rPr>
        <w:t xml:space="preserve"> Approve Proposal 01/TTr-DHDCD-2024 dated April 26, 2024 on the Financial Statements 2023 audited by AFC Vietnam Auditing Co</w:t>
      </w:r>
    </w:p>
    <w:p w:rsidR="00D76E7E" w:rsidRPr="00672EC5"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18"/>
          <w:szCs w:val="20"/>
        </w:rPr>
      </w:pPr>
      <w:proofErr w:type="spellStart"/>
      <w:proofErr w:type="gramStart"/>
      <w:r>
        <w:rPr>
          <w:rFonts w:ascii="Arial" w:hAnsi="Arial"/>
          <w:color w:val="010000"/>
          <w:sz w:val="20"/>
        </w:rPr>
        <w:t>mpany</w:t>
      </w:r>
      <w:proofErr w:type="spellEnd"/>
      <w:proofErr w:type="gramEnd"/>
      <w:r>
        <w:rPr>
          <w:rFonts w:ascii="Arial" w:hAnsi="Arial"/>
          <w:color w:val="010000"/>
          <w:sz w:val="20"/>
        </w:rPr>
        <w:t xml:space="preserve"> Limited (detailed content is posted on the Company's website : </w:t>
      </w:r>
      <w:r w:rsidRPr="00672EC5">
        <w:rPr>
          <w:rFonts w:ascii="Arial" w:hAnsi="Arial" w:cs="Arial"/>
          <w:sz w:val="22"/>
        </w:rPr>
        <w:t>http://wood-tanmai.com.vn, “shareholder relations” category)</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Proposal 02/TTr-DHDCD-2024 dated April 26, 2024 on profit distribution in 2023 and profit distribution plan in 2024:</w:t>
      </w:r>
    </w:p>
    <w:p w:rsidR="00D76E7E" w:rsidRPr="001C374F" w:rsidRDefault="001C374F" w:rsidP="001C374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distribution in 2023 with 10% rate / charter capital</w:t>
      </w:r>
    </w:p>
    <w:p w:rsidR="00D76E7E" w:rsidRPr="00A06B27" w:rsidRDefault="001C374F" w:rsidP="001C374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A06B27">
        <w:rPr>
          <w:rFonts w:ascii="Arial" w:hAnsi="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7"/>
        <w:gridCol w:w="6769"/>
        <w:gridCol w:w="1531"/>
      </w:tblGrid>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No.</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Content</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N2023</w:t>
            </w:r>
          </w:p>
        </w:tc>
      </w:tr>
      <w:tr w:rsidR="00D76E7E" w:rsidRPr="00A06B27" w:rsidTr="001C374F">
        <w:tc>
          <w:tcPr>
            <w:tcW w:w="4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Charter capital</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46,623</w:t>
            </w:r>
          </w:p>
        </w:tc>
      </w:tr>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Remaining undistributed profit after tax at the end of</w:t>
            </w:r>
            <w:bookmarkStart w:id="0" w:name="_GoBack"/>
            <w:bookmarkEnd w:id="0"/>
            <w:r w:rsidRPr="00A06B27">
              <w:rPr>
                <w:rFonts w:ascii="Arial" w:hAnsi="Arial"/>
                <w:color w:val="010000"/>
                <w:sz w:val="20"/>
              </w:rPr>
              <w:t xml:space="preserve"> the previous year</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8,197</w:t>
            </w:r>
          </w:p>
        </w:tc>
      </w:tr>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2</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Profit before tax in 2023</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12,714</w:t>
            </w:r>
          </w:p>
        </w:tc>
      </w:tr>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3</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Profit after tax in 2023</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10,104</w:t>
            </w:r>
          </w:p>
        </w:tc>
      </w:tr>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Distribution in 2023</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r>
      <w:tr w:rsidR="00D76E7E" w:rsidRPr="00A06B27" w:rsidTr="001C374F">
        <w:tc>
          <w:tcPr>
            <w:tcW w:w="4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 Investment and development fund (not appropriated)</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r>
      <w:tr w:rsidR="00D76E7E" w:rsidRPr="00A06B27" w:rsidTr="001C374F">
        <w:tc>
          <w:tcPr>
            <w:tcW w:w="4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 Bonus and welfare fund (not appropriated)</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r>
      <w:tr w:rsidR="00D76E7E" w:rsidRPr="00A06B27" w:rsidTr="001C374F">
        <w:tc>
          <w:tcPr>
            <w:tcW w:w="4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 Bonus fund for Executive Board (not appropriated)</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w:t>
            </w:r>
          </w:p>
        </w:tc>
      </w:tr>
      <w:tr w:rsidR="00D76E7E" w:rsidRPr="00A06B27" w:rsidTr="001C374F">
        <w:tc>
          <w:tcPr>
            <w:tcW w:w="413" w:type="pct"/>
            <w:shd w:val="clear" w:color="auto" w:fill="auto"/>
            <w:tcMar>
              <w:top w:w="0" w:type="dxa"/>
              <w:bottom w:w="0" w:type="dxa"/>
            </w:tcMar>
            <w:vAlign w:val="center"/>
          </w:tcPr>
          <w:p w:rsidR="00D76E7E" w:rsidRPr="00A06B27" w:rsidRDefault="00D76E7E" w:rsidP="001C374F">
            <w:pPr>
              <w:tabs>
                <w:tab w:val="left" w:pos="432"/>
              </w:tabs>
              <w:spacing w:after="120" w:line="360" w:lineRule="auto"/>
              <w:jc w:val="center"/>
              <w:rPr>
                <w:rFonts w:ascii="Arial" w:eastAsia="Arial" w:hAnsi="Arial" w:cs="Arial"/>
                <w:color w:val="010000"/>
                <w:sz w:val="20"/>
                <w:szCs w:val="20"/>
              </w:rPr>
            </w:pP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 Dividend in 2023 (10% / charter capital)</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4,662</w:t>
            </w:r>
          </w:p>
        </w:tc>
      </w:tr>
      <w:tr w:rsidR="00D76E7E" w:rsidRPr="00A06B27" w:rsidTr="001C374F">
        <w:tc>
          <w:tcPr>
            <w:tcW w:w="413"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5</w:t>
            </w:r>
          </w:p>
        </w:tc>
        <w:tc>
          <w:tcPr>
            <w:tcW w:w="3741"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6B27">
              <w:rPr>
                <w:rFonts w:ascii="Arial" w:hAnsi="Arial"/>
                <w:color w:val="010000"/>
                <w:sz w:val="20"/>
              </w:rPr>
              <w:t>The remaining undistributed profit will be carried over to the next year</w:t>
            </w:r>
          </w:p>
        </w:tc>
        <w:tc>
          <w:tcPr>
            <w:tcW w:w="846" w:type="pct"/>
            <w:shd w:val="clear" w:color="auto" w:fill="auto"/>
            <w:tcMar>
              <w:top w:w="0" w:type="dxa"/>
              <w:bottom w:w="0" w:type="dxa"/>
            </w:tcMar>
            <w:vAlign w:val="center"/>
          </w:tcPr>
          <w:p w:rsidR="00D76E7E" w:rsidRPr="00A06B27" w:rsidRDefault="001C374F" w:rsidP="001C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06B27">
              <w:rPr>
                <w:rFonts w:ascii="Arial" w:hAnsi="Arial"/>
                <w:color w:val="010000"/>
                <w:sz w:val="20"/>
              </w:rPr>
              <w:t>13,639</w:t>
            </w:r>
          </w:p>
        </w:tc>
      </w:tr>
    </w:tbl>
    <w:p w:rsidR="00D76E7E" w:rsidRPr="00A06B27" w:rsidRDefault="001C374F" w:rsidP="001C374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6B27">
        <w:rPr>
          <w:rFonts w:ascii="Arial" w:hAnsi="Arial"/>
          <w:color w:val="010000"/>
          <w:sz w:val="20"/>
        </w:rPr>
        <w:t>Profit Distribution Plan for 2024</w:t>
      </w:r>
    </w:p>
    <w:p w:rsidR="00D76E7E" w:rsidRPr="001C374F"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VND 63.7 Billion.</w:t>
      </w:r>
    </w:p>
    <w:p w:rsidR="00D76E7E" w:rsidRPr="001C374F"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VND 7.5 billion</w:t>
      </w:r>
    </w:p>
    <w:p w:rsidR="00D76E7E" w:rsidRPr="001C374F"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VND 6 billion</w:t>
      </w:r>
    </w:p>
    <w:p w:rsidR="00D76E7E" w:rsidRPr="001C374F"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State budget: VND 3 Billion.</w:t>
      </w:r>
    </w:p>
    <w:p w:rsidR="00D76E7E" w:rsidRPr="001C374F" w:rsidRDefault="001C374F" w:rsidP="001C374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level 10% charter capital</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lastRenderedPageBreak/>
        <w:t>‎‎Article 6.</w:t>
      </w:r>
      <w:proofErr w:type="gramEnd"/>
      <w:r>
        <w:rPr>
          <w:rFonts w:ascii="Arial" w:hAnsi="Arial"/>
          <w:color w:val="010000"/>
          <w:sz w:val="20"/>
        </w:rPr>
        <w:t xml:space="preserve"> Approve the list of audit companies to be selected for the Financial Statements of the Company in 2024 according to Proposal No. 03/TTr-DHDCD-2021 dated April 26, 2024;</w:t>
      </w:r>
    </w:p>
    <w:p w:rsidR="00D76E7E" w:rsidRPr="001C374F" w:rsidRDefault="001C374F" w:rsidP="001C374F">
      <w:pPr>
        <w:numPr>
          <w:ilvl w:val="0"/>
          <w:numId w:val="7"/>
        </w:numPr>
        <w:pBdr>
          <w:top w:val="nil"/>
          <w:left w:val="nil"/>
          <w:bottom w:val="nil"/>
          <w:right w:val="nil"/>
          <w:between w:val="nil"/>
        </w:pBdr>
        <w:tabs>
          <w:tab w:val="left" w:pos="432"/>
          <w:tab w:val="left" w:pos="1430"/>
        </w:tabs>
        <w:spacing w:after="120" w:line="360" w:lineRule="auto"/>
        <w:rPr>
          <w:rFonts w:ascii="Arial" w:eastAsia="Arial" w:hAnsi="Arial" w:cs="Arial"/>
          <w:color w:val="010000"/>
          <w:sz w:val="20"/>
          <w:szCs w:val="20"/>
        </w:rPr>
      </w:pPr>
      <w:r>
        <w:rPr>
          <w:rFonts w:ascii="Arial" w:hAnsi="Arial"/>
          <w:color w:val="010000"/>
          <w:sz w:val="20"/>
        </w:rPr>
        <w:t xml:space="preserve">AFC Vietnam Auditing </w:t>
      </w:r>
      <w:proofErr w:type="spellStart"/>
      <w:r>
        <w:rPr>
          <w:rFonts w:ascii="Arial" w:hAnsi="Arial"/>
          <w:color w:val="010000"/>
          <w:sz w:val="20"/>
        </w:rPr>
        <w:t>Co.,Ltd</w:t>
      </w:r>
      <w:proofErr w:type="spellEnd"/>
    </w:p>
    <w:p w:rsidR="00D76E7E" w:rsidRPr="001C374F" w:rsidRDefault="001C374F" w:rsidP="001C374F">
      <w:pPr>
        <w:numPr>
          <w:ilvl w:val="0"/>
          <w:numId w:val="7"/>
        </w:numPr>
        <w:pBdr>
          <w:top w:val="nil"/>
          <w:left w:val="nil"/>
          <w:bottom w:val="nil"/>
          <w:right w:val="nil"/>
          <w:between w:val="nil"/>
        </w:pBdr>
        <w:tabs>
          <w:tab w:val="left" w:pos="432"/>
          <w:tab w:val="left" w:pos="1430"/>
        </w:tabs>
        <w:spacing w:after="120" w:line="360" w:lineRule="auto"/>
        <w:rPr>
          <w:rFonts w:ascii="Arial" w:eastAsia="Arial" w:hAnsi="Arial" w:cs="Arial"/>
          <w:color w:val="010000"/>
          <w:sz w:val="20"/>
          <w:szCs w:val="20"/>
        </w:rPr>
      </w:pPr>
      <w:r>
        <w:rPr>
          <w:rFonts w:ascii="Arial" w:hAnsi="Arial"/>
          <w:color w:val="010000"/>
          <w:sz w:val="20"/>
        </w:rPr>
        <w:t>UHY Auditing and Consulting Company Limited- Ho Chi Minh City branch</w:t>
      </w:r>
    </w:p>
    <w:p w:rsidR="00D76E7E" w:rsidRPr="001C374F" w:rsidRDefault="001C374F" w:rsidP="001C374F">
      <w:pPr>
        <w:numPr>
          <w:ilvl w:val="0"/>
          <w:numId w:val="7"/>
        </w:numPr>
        <w:pBdr>
          <w:top w:val="nil"/>
          <w:left w:val="nil"/>
          <w:bottom w:val="nil"/>
          <w:right w:val="nil"/>
          <w:between w:val="nil"/>
        </w:pBdr>
        <w:tabs>
          <w:tab w:val="left" w:pos="432"/>
          <w:tab w:val="left" w:pos="1430"/>
        </w:tabs>
        <w:spacing w:after="120" w:line="360" w:lineRule="auto"/>
        <w:rPr>
          <w:rFonts w:ascii="Arial" w:eastAsia="Arial" w:hAnsi="Arial" w:cs="Arial"/>
          <w:color w:val="010000"/>
          <w:sz w:val="20"/>
          <w:szCs w:val="20"/>
        </w:rPr>
      </w:pPr>
      <w:r>
        <w:rPr>
          <w:rFonts w:ascii="Arial" w:hAnsi="Arial"/>
          <w:color w:val="010000"/>
          <w:sz w:val="20"/>
        </w:rPr>
        <w:t>AASC Auditing Company Limited</w:t>
      </w:r>
    </w:p>
    <w:p w:rsidR="00D76E7E" w:rsidRPr="001C374F" w:rsidRDefault="001C374F" w:rsidP="001C374F">
      <w:pPr>
        <w:numPr>
          <w:ilvl w:val="0"/>
          <w:numId w:val="7"/>
        </w:numPr>
        <w:pBdr>
          <w:top w:val="nil"/>
          <w:left w:val="nil"/>
          <w:bottom w:val="nil"/>
          <w:right w:val="nil"/>
          <w:between w:val="nil"/>
        </w:pBdr>
        <w:tabs>
          <w:tab w:val="left" w:pos="432"/>
          <w:tab w:val="left" w:pos="1325"/>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01 of the 03 above auditing companies to audit the Company's Financial Statements 2024. In case an agreement cannot be reached with the three auditing units mentioned above, the Board of Directors has the right to choose another auditing unit within the system of auditing units that have been approved by the State Securities Commission to be qualified to audit public and listed companies.</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‎‎Article 7.</w:t>
      </w:r>
      <w:proofErr w:type="gramEnd"/>
      <w:r>
        <w:rPr>
          <w:rFonts w:ascii="Arial" w:hAnsi="Arial"/>
          <w:color w:val="010000"/>
          <w:sz w:val="20"/>
        </w:rPr>
        <w:t xml:space="preserve"> Approve Proposal No. 04/TTr-DHDCD-2024 dated April 26, 2024 of the Board of Directors on salaries and remunerations of the Board of Directors and Supervisory Board 2024 as follows:</w:t>
      </w:r>
    </w:p>
    <w:p w:rsidR="00D76E7E" w:rsidRPr="001C374F" w:rsidRDefault="001C374F" w:rsidP="001C374F">
      <w:pPr>
        <w:numPr>
          <w:ilvl w:val="0"/>
          <w:numId w:val="6"/>
        </w:numPr>
        <w:pBdr>
          <w:top w:val="nil"/>
          <w:left w:val="nil"/>
          <w:bottom w:val="nil"/>
          <w:right w:val="nil"/>
          <w:between w:val="nil"/>
        </w:pBdr>
        <w:tabs>
          <w:tab w:val="left" w:pos="345"/>
          <w:tab w:val="left" w:pos="432"/>
        </w:tabs>
        <w:spacing w:after="120" w:line="360" w:lineRule="auto"/>
        <w:rPr>
          <w:rFonts w:ascii="Arial" w:eastAsia="Arial" w:hAnsi="Arial" w:cs="Arial"/>
          <w:color w:val="010000"/>
          <w:sz w:val="20"/>
          <w:szCs w:val="20"/>
        </w:rPr>
      </w:pPr>
      <w:r>
        <w:rPr>
          <w:rFonts w:ascii="Arial" w:hAnsi="Arial"/>
          <w:color w:val="010000"/>
          <w:sz w:val="20"/>
        </w:rPr>
        <w:t>Executive Chair of the Board of Directors VND 5,000,000/month (VND 60,000,000/person/year)</w:t>
      </w:r>
    </w:p>
    <w:p w:rsidR="00D76E7E" w:rsidRPr="001C374F" w:rsidRDefault="001C374F" w:rsidP="001C374F">
      <w:pPr>
        <w:numPr>
          <w:ilvl w:val="0"/>
          <w:numId w:val="6"/>
        </w:numPr>
        <w:pBdr>
          <w:top w:val="nil"/>
          <w:left w:val="nil"/>
          <w:bottom w:val="nil"/>
          <w:right w:val="nil"/>
          <w:between w:val="nil"/>
        </w:pBdr>
        <w:tabs>
          <w:tab w:val="left" w:pos="345"/>
          <w:tab w:val="left" w:pos="432"/>
        </w:tabs>
        <w:spacing w:after="120" w:line="360" w:lineRule="auto"/>
        <w:rPr>
          <w:rFonts w:ascii="Arial" w:eastAsia="Arial" w:hAnsi="Arial" w:cs="Arial"/>
          <w:color w:val="010000"/>
          <w:sz w:val="20"/>
          <w:szCs w:val="20"/>
        </w:rPr>
      </w:pPr>
      <w:r>
        <w:rPr>
          <w:rFonts w:ascii="Arial" w:hAnsi="Arial"/>
          <w:color w:val="010000"/>
          <w:sz w:val="20"/>
        </w:rPr>
        <w:t>Executive deputy Chief of Board Of Managers: VND 4,000,000/month (VND 48,000,000/person/year)</w:t>
      </w:r>
    </w:p>
    <w:p w:rsidR="00D76E7E" w:rsidRPr="001C374F" w:rsidRDefault="001C374F" w:rsidP="001C374F">
      <w:pPr>
        <w:numPr>
          <w:ilvl w:val="0"/>
          <w:numId w:val="6"/>
        </w:numPr>
        <w:pBdr>
          <w:top w:val="nil"/>
          <w:left w:val="nil"/>
          <w:bottom w:val="nil"/>
          <w:right w:val="nil"/>
          <w:between w:val="nil"/>
        </w:pBdr>
        <w:tabs>
          <w:tab w:val="left" w:pos="335"/>
          <w:tab w:val="left" w:pos="432"/>
        </w:tabs>
        <w:spacing w:after="120" w:line="360" w:lineRule="auto"/>
        <w:rPr>
          <w:rFonts w:ascii="Arial" w:eastAsia="Arial" w:hAnsi="Arial" w:cs="Arial"/>
          <w:color w:val="010000"/>
          <w:sz w:val="20"/>
          <w:szCs w:val="20"/>
        </w:rPr>
      </w:pPr>
      <w:r>
        <w:rPr>
          <w:rFonts w:ascii="Arial" w:hAnsi="Arial"/>
          <w:color w:val="010000"/>
          <w:sz w:val="20"/>
        </w:rPr>
        <w:t>Executive Members of Board Of Managers: VND 3,000,000/month (VND 36,000,000/person/year)</w:t>
      </w:r>
    </w:p>
    <w:p w:rsidR="00D76E7E" w:rsidRPr="001C374F" w:rsidRDefault="001C374F" w:rsidP="001C374F">
      <w:pPr>
        <w:numPr>
          <w:ilvl w:val="0"/>
          <w:numId w:val="6"/>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Executive Chief of the Supervisory Board Receive salary according to the Company's salary regulations</w:t>
      </w:r>
    </w:p>
    <w:p w:rsidR="00D76E7E" w:rsidRPr="001C374F" w:rsidRDefault="001C374F" w:rsidP="001C374F">
      <w:pPr>
        <w:numPr>
          <w:ilvl w:val="0"/>
          <w:numId w:val="6"/>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Supervisor: VND 1,500,000/month (VND 18,000,000/person/year)</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Approve Proposal 05/TTr-DHDCD-2024 dated April 26, 2024 on adding a legal representative and amending the company charter.</w:t>
      </w:r>
    </w:p>
    <w:p w:rsidR="00D76E7E" w:rsidRPr="001C374F" w:rsidRDefault="001C374F" w:rsidP="001C374F">
      <w:pPr>
        <w:numPr>
          <w:ilvl w:val="0"/>
          <w:numId w:val="1"/>
        </w:numPr>
        <w:pBdr>
          <w:top w:val="nil"/>
          <w:left w:val="nil"/>
          <w:bottom w:val="nil"/>
          <w:right w:val="nil"/>
          <w:between w:val="nil"/>
        </w:pBdr>
        <w:tabs>
          <w:tab w:val="left" w:pos="432"/>
          <w:tab w:val="left" w:pos="800"/>
        </w:tabs>
        <w:spacing w:after="120" w:line="360" w:lineRule="auto"/>
        <w:rPr>
          <w:rFonts w:ascii="Arial" w:eastAsia="Arial" w:hAnsi="Arial" w:cs="Arial"/>
          <w:color w:val="010000"/>
          <w:sz w:val="20"/>
          <w:szCs w:val="20"/>
        </w:rPr>
      </w:pPr>
      <w:r>
        <w:rPr>
          <w:rFonts w:ascii="Arial" w:hAnsi="Arial"/>
          <w:color w:val="010000"/>
          <w:sz w:val="20"/>
        </w:rPr>
        <w:t>Legal representative before the change</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4671"/>
        <w:gridCol w:w="4572"/>
      </w:tblGrid>
      <w:tr w:rsidR="00D76E7E" w:rsidRPr="001C374F" w:rsidTr="001C374F">
        <w:tc>
          <w:tcPr>
            <w:tcW w:w="2527"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 DUONG THI MY DUNG</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Title: Manager</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 April 14, 1966</w:t>
            </w:r>
            <w:r>
              <w:rPr>
                <w:rFonts w:ascii="Arial" w:hAnsi="Arial"/>
                <w:color w:val="010000"/>
                <w:sz w:val="20"/>
              </w:rPr>
              <w:tab/>
              <w:t xml:space="preserve">Ethnicity: </w:t>
            </w:r>
            <w:proofErr w:type="spellStart"/>
            <w:r>
              <w:rPr>
                <w:rFonts w:ascii="Arial" w:hAnsi="Arial"/>
                <w:color w:val="010000"/>
                <w:sz w:val="20"/>
              </w:rPr>
              <w:t>Kinh</w:t>
            </w:r>
            <w:proofErr w:type="spellEnd"/>
          </w:p>
        </w:tc>
        <w:tc>
          <w:tcPr>
            <w:tcW w:w="2473"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Sex: Female</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Nationality: Vietnamese</w:t>
            </w:r>
          </w:p>
        </w:tc>
      </w:tr>
    </w:tbl>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Citizen Identity Card No. 074166005354 issued on August 12, 2021</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Place of issue: Police Department on Administrative Management of Social Order</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 xml:space="preserve">Permanent address No. 19, Nguyen Hien </w:t>
      </w:r>
      <w:proofErr w:type="spellStart"/>
      <w:r>
        <w:rPr>
          <w:rFonts w:ascii="Arial" w:hAnsi="Arial"/>
          <w:color w:val="010000"/>
          <w:sz w:val="20"/>
        </w:rPr>
        <w:t>Vuong</w:t>
      </w:r>
      <w:proofErr w:type="spellEnd"/>
      <w:r>
        <w:rPr>
          <w:rFonts w:ascii="Arial" w:hAnsi="Arial"/>
          <w:color w:val="010000"/>
          <w:sz w:val="20"/>
        </w:rPr>
        <w:t xml:space="preserve"> Street, Thanh Binh Ward, City.</w:t>
      </w:r>
      <w:proofErr w:type="gramEnd"/>
      <w:r>
        <w:rPr>
          <w:rFonts w:ascii="Arial" w:hAnsi="Arial"/>
          <w:color w:val="010000"/>
          <w:sz w:val="20"/>
        </w:rPr>
        <w:t xml:space="preserve"> Bien Hoa, Dong </w:t>
      </w:r>
      <w:proofErr w:type="spellStart"/>
      <w:r>
        <w:rPr>
          <w:rFonts w:ascii="Arial" w:hAnsi="Arial"/>
          <w:color w:val="010000"/>
          <w:sz w:val="20"/>
        </w:rPr>
        <w:t>Nai</w:t>
      </w:r>
      <w:proofErr w:type="spellEnd"/>
      <w:r>
        <w:rPr>
          <w:rFonts w:ascii="Arial" w:hAnsi="Arial"/>
          <w:color w:val="010000"/>
          <w:sz w:val="20"/>
        </w:rPr>
        <w:t xml:space="preserve"> Province, Vietnam </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Contact address: No. 23, Lu </w:t>
      </w:r>
      <w:proofErr w:type="spellStart"/>
      <w:r>
        <w:rPr>
          <w:rFonts w:ascii="Arial" w:hAnsi="Arial"/>
          <w:color w:val="010000"/>
          <w:sz w:val="20"/>
        </w:rPr>
        <w:t>Manh</w:t>
      </w:r>
      <w:proofErr w:type="spellEnd"/>
      <w:r>
        <w:rPr>
          <w:rFonts w:ascii="Arial" w:hAnsi="Arial"/>
          <w:color w:val="010000"/>
          <w:sz w:val="20"/>
        </w:rPr>
        <w:t xml:space="preserve"> Street, Thanh Binh Ward, Bien Hoa City, Dong </w:t>
      </w:r>
      <w:proofErr w:type="spellStart"/>
      <w:r>
        <w:rPr>
          <w:rFonts w:ascii="Arial" w:hAnsi="Arial"/>
          <w:color w:val="010000"/>
          <w:sz w:val="20"/>
        </w:rPr>
        <w:t>Nai</w:t>
      </w:r>
      <w:proofErr w:type="spellEnd"/>
      <w:r>
        <w:rPr>
          <w:rFonts w:ascii="Arial" w:hAnsi="Arial"/>
          <w:color w:val="010000"/>
          <w:sz w:val="20"/>
        </w:rPr>
        <w:t xml:space="preserve"> Province, Vietnam</w:t>
      </w:r>
    </w:p>
    <w:p w:rsidR="00D76E7E" w:rsidRPr="001C374F" w:rsidRDefault="001C374F" w:rsidP="001C374F">
      <w:pPr>
        <w:numPr>
          <w:ilvl w:val="0"/>
          <w:numId w:val="1"/>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New Legal Representative:</w:t>
      </w:r>
    </w:p>
    <w:p w:rsidR="00D76E7E" w:rsidRPr="001C374F" w:rsidRDefault="001C374F" w:rsidP="001C374F">
      <w:pPr>
        <w:pBdr>
          <w:top w:val="nil"/>
          <w:left w:val="nil"/>
          <w:bottom w:val="nil"/>
          <w:right w:val="nil"/>
          <w:between w:val="nil"/>
        </w:pBdr>
        <w:tabs>
          <w:tab w:val="left" w:pos="145"/>
          <w:tab w:val="left" w:pos="432"/>
        </w:tabs>
        <w:spacing w:after="120" w:line="360" w:lineRule="auto"/>
        <w:rPr>
          <w:rFonts w:ascii="Arial" w:eastAsia="Arial" w:hAnsi="Arial" w:cs="Arial"/>
          <w:color w:val="010000"/>
          <w:sz w:val="20"/>
          <w:szCs w:val="20"/>
        </w:rPr>
      </w:pPr>
      <w:r>
        <w:rPr>
          <w:rFonts w:ascii="Arial" w:hAnsi="Arial"/>
          <w:color w:val="010000"/>
          <w:sz w:val="20"/>
        </w:rPr>
        <w:t>1st legal representative:</w:t>
      </w:r>
    </w:p>
    <w:tbl>
      <w:tblPr>
        <w:tblStyle w:val="a2"/>
        <w:tblW w:w="5000" w:type="pct"/>
        <w:tblBorders>
          <w:top w:val="nil"/>
          <w:left w:val="nil"/>
          <w:bottom w:val="nil"/>
          <w:right w:val="nil"/>
          <w:insideH w:val="nil"/>
          <w:insideV w:val="nil"/>
        </w:tblBorders>
        <w:tblLook w:val="0400" w:firstRow="0" w:lastRow="0" w:firstColumn="0" w:lastColumn="0" w:noHBand="0" w:noVBand="1"/>
      </w:tblPr>
      <w:tblGrid>
        <w:gridCol w:w="4686"/>
        <w:gridCol w:w="4557"/>
      </w:tblGrid>
      <w:tr w:rsidR="00D76E7E" w:rsidRPr="001C374F" w:rsidTr="001C374F">
        <w:tc>
          <w:tcPr>
            <w:tcW w:w="2535"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Full name: PHAM DUC BINH</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Title: The Chair of the Board of Directors</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 October 28, 1966</w:t>
            </w:r>
            <w:r>
              <w:rPr>
                <w:rFonts w:ascii="Arial" w:hAnsi="Arial"/>
                <w:color w:val="010000"/>
                <w:sz w:val="20"/>
              </w:rPr>
              <w:tab/>
              <w:t>Ethnicity:</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Citizen Identity Card No. 075066015581 issued on August 12, 2022</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Place of issue: Police Department on Administrative Management of Social Order</w:t>
            </w:r>
          </w:p>
        </w:tc>
        <w:tc>
          <w:tcPr>
            <w:tcW w:w="2465"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Sex: Male</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Nationality: Vietnamese</w:t>
            </w:r>
          </w:p>
          <w:p w:rsidR="00D76E7E" w:rsidRPr="001C374F" w:rsidRDefault="00D76E7E" w:rsidP="001C374F">
            <w:pPr>
              <w:pBdr>
                <w:top w:val="nil"/>
                <w:left w:val="nil"/>
                <w:bottom w:val="nil"/>
                <w:right w:val="nil"/>
                <w:between w:val="nil"/>
              </w:pBdr>
              <w:tabs>
                <w:tab w:val="left" w:pos="145"/>
                <w:tab w:val="left" w:pos="432"/>
              </w:tabs>
              <w:spacing w:after="120" w:line="360" w:lineRule="auto"/>
              <w:rPr>
                <w:rFonts w:ascii="Arial" w:eastAsia="Arial" w:hAnsi="Arial" w:cs="Arial"/>
                <w:color w:val="010000"/>
                <w:sz w:val="20"/>
                <w:szCs w:val="20"/>
              </w:rPr>
            </w:pPr>
          </w:p>
        </w:tc>
      </w:tr>
    </w:tbl>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Permanent address 254/25, Group 37, Quarter 4, Binh Da Ward, Bien Hoa City, Dong </w:t>
      </w:r>
      <w:proofErr w:type="spellStart"/>
      <w:r>
        <w:rPr>
          <w:rFonts w:ascii="Arial" w:hAnsi="Arial"/>
          <w:color w:val="010000"/>
          <w:sz w:val="20"/>
        </w:rPr>
        <w:t>Nai</w:t>
      </w:r>
      <w:proofErr w:type="spellEnd"/>
      <w:r>
        <w:rPr>
          <w:rFonts w:ascii="Arial" w:hAnsi="Arial"/>
          <w:color w:val="010000"/>
          <w:sz w:val="20"/>
        </w:rPr>
        <w:t xml:space="preserve"> Province, Vietnam</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 254/25, Group 37, Quarter 4, Binh Da Ward</w:t>
      </w:r>
      <w:proofErr w:type="gramStart"/>
      <w:r>
        <w:rPr>
          <w:rFonts w:ascii="Arial" w:hAnsi="Arial"/>
          <w:color w:val="010000"/>
          <w:sz w:val="20"/>
        </w:rPr>
        <w:t>,  Bien</w:t>
      </w:r>
      <w:proofErr w:type="gramEnd"/>
      <w:r>
        <w:rPr>
          <w:rFonts w:ascii="Arial" w:hAnsi="Arial"/>
          <w:color w:val="010000"/>
          <w:sz w:val="20"/>
        </w:rPr>
        <w:t xml:space="preserve"> Hoa City, Dong </w:t>
      </w:r>
      <w:proofErr w:type="spellStart"/>
      <w:r>
        <w:rPr>
          <w:rFonts w:ascii="Arial" w:hAnsi="Arial"/>
          <w:color w:val="010000"/>
          <w:sz w:val="20"/>
        </w:rPr>
        <w:t>Nai</w:t>
      </w:r>
      <w:proofErr w:type="spellEnd"/>
      <w:r>
        <w:rPr>
          <w:rFonts w:ascii="Arial" w:hAnsi="Arial"/>
          <w:color w:val="010000"/>
          <w:sz w:val="20"/>
        </w:rPr>
        <w:t xml:space="preserve"> Province, Vietnam.</w:t>
      </w:r>
    </w:p>
    <w:p w:rsidR="00D76E7E" w:rsidRPr="001C374F" w:rsidRDefault="001C374F" w:rsidP="001C374F">
      <w:pPr>
        <w:numPr>
          <w:ilvl w:val="0"/>
          <w:numId w:val="7"/>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Pr>
          <w:rFonts w:ascii="Arial" w:hAnsi="Arial"/>
          <w:color w:val="010000"/>
          <w:sz w:val="20"/>
        </w:rPr>
        <w:t>2nd legal representative:</w:t>
      </w:r>
    </w:p>
    <w:tbl>
      <w:tblPr>
        <w:tblStyle w:val="a3"/>
        <w:tblW w:w="5000" w:type="pct"/>
        <w:tblBorders>
          <w:top w:val="nil"/>
          <w:left w:val="nil"/>
          <w:bottom w:val="nil"/>
          <w:right w:val="nil"/>
          <w:insideH w:val="nil"/>
          <w:insideV w:val="nil"/>
        </w:tblBorders>
        <w:tblLook w:val="0400" w:firstRow="0" w:lastRow="0" w:firstColumn="0" w:lastColumn="0" w:noHBand="0" w:noVBand="1"/>
      </w:tblPr>
      <w:tblGrid>
        <w:gridCol w:w="4657"/>
        <w:gridCol w:w="4586"/>
      </w:tblGrid>
      <w:tr w:rsidR="00D76E7E" w:rsidRPr="001C374F" w:rsidTr="001C374F">
        <w:tc>
          <w:tcPr>
            <w:tcW w:w="2519"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 DUONG THI MY DUNG</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Title: Manager</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 April 14, 1966</w:t>
            </w:r>
            <w:r>
              <w:rPr>
                <w:rFonts w:ascii="Arial" w:hAnsi="Arial"/>
                <w:color w:val="010000"/>
                <w:sz w:val="20"/>
              </w:rPr>
              <w:tab/>
              <w:t xml:space="preserve">Ethnicity: </w:t>
            </w:r>
            <w:proofErr w:type="spellStart"/>
            <w:r>
              <w:rPr>
                <w:rFonts w:ascii="Arial" w:hAnsi="Arial"/>
                <w:color w:val="010000"/>
                <w:sz w:val="20"/>
              </w:rPr>
              <w:t>Kinh</w:t>
            </w:r>
            <w:proofErr w:type="spellEnd"/>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 No: 074166005354 issued on August 12, 2021</w:t>
            </w: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Place of issue: Police Department on Administrative Management of Social Order</w:t>
            </w:r>
          </w:p>
        </w:tc>
        <w:tc>
          <w:tcPr>
            <w:tcW w:w="2481" w:type="pct"/>
            <w:shd w:val="clear" w:color="auto" w:fill="auto"/>
            <w:vAlign w:val="center"/>
          </w:tcPr>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Sex: Female</w:t>
            </w:r>
          </w:p>
          <w:p w:rsidR="00D76E7E" w:rsidRPr="001C374F" w:rsidRDefault="00D76E7E"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rsidR="00D76E7E" w:rsidRPr="001C374F" w:rsidRDefault="001C374F" w:rsidP="001C37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Nationality: Vietnamese</w:t>
            </w:r>
          </w:p>
          <w:p w:rsidR="00D76E7E" w:rsidRPr="001C374F" w:rsidRDefault="00D76E7E" w:rsidP="001C374F">
            <w:p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p>
        </w:tc>
      </w:tr>
    </w:tbl>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Permanent address No. 19, Nguyen Hien </w:t>
      </w:r>
      <w:proofErr w:type="spellStart"/>
      <w:r>
        <w:rPr>
          <w:rFonts w:ascii="Arial" w:hAnsi="Arial"/>
          <w:color w:val="010000"/>
          <w:sz w:val="20"/>
        </w:rPr>
        <w:t>Vuong</w:t>
      </w:r>
      <w:proofErr w:type="spellEnd"/>
      <w:r>
        <w:rPr>
          <w:rFonts w:ascii="Arial" w:hAnsi="Arial"/>
          <w:color w:val="010000"/>
          <w:sz w:val="20"/>
        </w:rPr>
        <w:t xml:space="preserve"> Street, Thanh Binh Ward, City.</w:t>
      </w:r>
      <w:proofErr w:type="gramEnd"/>
      <w:r>
        <w:rPr>
          <w:rFonts w:ascii="Arial" w:hAnsi="Arial"/>
          <w:color w:val="010000"/>
          <w:sz w:val="20"/>
        </w:rPr>
        <w:t xml:space="preserve"> Bien Hoa, Dong </w:t>
      </w:r>
      <w:proofErr w:type="spellStart"/>
      <w:r>
        <w:rPr>
          <w:rFonts w:ascii="Arial" w:hAnsi="Arial"/>
          <w:color w:val="010000"/>
          <w:sz w:val="20"/>
        </w:rPr>
        <w:t>Nai</w:t>
      </w:r>
      <w:proofErr w:type="spellEnd"/>
      <w:r>
        <w:rPr>
          <w:rFonts w:ascii="Arial" w:hAnsi="Arial"/>
          <w:color w:val="010000"/>
          <w:sz w:val="20"/>
        </w:rPr>
        <w:t xml:space="preserve"> Province, Vietnam </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Contact address: No. 23, Lu </w:t>
      </w:r>
      <w:proofErr w:type="spellStart"/>
      <w:r>
        <w:rPr>
          <w:rFonts w:ascii="Arial" w:hAnsi="Arial"/>
          <w:color w:val="010000"/>
          <w:sz w:val="20"/>
        </w:rPr>
        <w:t>Manh</w:t>
      </w:r>
      <w:proofErr w:type="spellEnd"/>
      <w:r>
        <w:rPr>
          <w:rFonts w:ascii="Arial" w:hAnsi="Arial"/>
          <w:color w:val="010000"/>
          <w:sz w:val="20"/>
        </w:rPr>
        <w:t xml:space="preserve"> Street, Thanh Binh Ward, Bien Hoa City, Dong </w:t>
      </w:r>
      <w:proofErr w:type="spellStart"/>
      <w:r>
        <w:rPr>
          <w:rFonts w:ascii="Arial" w:hAnsi="Arial"/>
          <w:color w:val="010000"/>
          <w:sz w:val="20"/>
        </w:rPr>
        <w:t>Nai</w:t>
      </w:r>
      <w:proofErr w:type="spellEnd"/>
      <w:r>
        <w:rPr>
          <w:rFonts w:ascii="Arial" w:hAnsi="Arial"/>
          <w:color w:val="010000"/>
          <w:sz w:val="20"/>
        </w:rPr>
        <w:t xml:space="preserve"> Province, Vietnam</w:t>
      </w:r>
    </w:p>
    <w:p w:rsidR="00D76E7E" w:rsidRPr="001C374F" w:rsidRDefault="001C374F" w:rsidP="001C374F">
      <w:pPr>
        <w:numPr>
          <w:ilvl w:val="0"/>
          <w:numId w:val="1"/>
        </w:numPr>
        <w:pBdr>
          <w:top w:val="nil"/>
          <w:left w:val="nil"/>
          <w:bottom w:val="nil"/>
          <w:right w:val="nil"/>
          <w:between w:val="nil"/>
        </w:pBdr>
        <w:tabs>
          <w:tab w:val="left" w:pos="432"/>
          <w:tab w:val="left" w:pos="485"/>
        </w:tabs>
        <w:spacing w:after="120" w:line="360" w:lineRule="auto"/>
        <w:jc w:val="both"/>
        <w:rPr>
          <w:rFonts w:ascii="Arial" w:eastAsia="Arial" w:hAnsi="Arial" w:cs="Arial"/>
          <w:color w:val="010000"/>
          <w:sz w:val="20"/>
          <w:szCs w:val="20"/>
        </w:rPr>
      </w:pPr>
      <w:r>
        <w:rPr>
          <w:rFonts w:ascii="Arial" w:hAnsi="Arial"/>
          <w:color w:val="010000"/>
          <w:sz w:val="20"/>
        </w:rPr>
        <w:t>Amend Article 3 of the Company's Charter of Organization and Operation on "Legal Representative of the Company" to be consistent with the above changes.</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9.</w:t>
      </w:r>
      <w:proofErr w:type="gramEnd"/>
      <w:r>
        <w:rPr>
          <w:rFonts w:ascii="Arial" w:hAnsi="Arial"/>
          <w:color w:val="010000"/>
          <w:sz w:val="20"/>
        </w:rPr>
        <w:t xml:space="preserve"> Shareholders, the Board of Directors, the Supervisory Board and the legal representative of the Company are responsible for implementing this General Mandate in accordance with the current provisions of the Law and the Company's Charter.</w:t>
      </w:r>
    </w:p>
    <w:p w:rsidR="00D76E7E" w:rsidRPr="001C374F" w:rsidRDefault="001C374F" w:rsidP="001C374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This General Mandate takes effect from the date of its signing.</w:t>
      </w:r>
    </w:p>
    <w:sectPr w:rsidR="00D76E7E" w:rsidRPr="001C374F" w:rsidSect="001C37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2D4B"/>
    <w:multiLevelType w:val="multilevel"/>
    <w:tmpl w:val="9BD24F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DE6D47"/>
    <w:multiLevelType w:val="hybridMultilevel"/>
    <w:tmpl w:val="D576A482"/>
    <w:lvl w:ilvl="0" w:tplc="59FEE7F6">
      <w:start w:val="1"/>
      <w:numFmt w:val="bullet"/>
      <w:lvlText w:val="+"/>
      <w:lvlJc w:val="left"/>
      <w:pPr>
        <w:ind w:left="720" w:hanging="360"/>
      </w:pPr>
      <w:rPr>
        <w:rFonts w:ascii="Arial" w:hAnsi="Arial" w:hint="default"/>
        <w:b w:val="0"/>
        <w:i w:val="0"/>
        <w:sz w:val="20"/>
      </w:rPr>
    </w:lvl>
    <w:lvl w:ilvl="1" w:tplc="032625DC" w:tentative="1">
      <w:start w:val="1"/>
      <w:numFmt w:val="bullet"/>
      <w:lvlText w:val="o"/>
      <w:lvlJc w:val="left"/>
      <w:pPr>
        <w:ind w:left="1440" w:hanging="360"/>
      </w:pPr>
      <w:rPr>
        <w:rFonts w:ascii="Courier New" w:hAnsi="Courier New" w:cs="Courier New" w:hint="default"/>
        <w:b w:val="0"/>
        <w:i w:val="0"/>
        <w:sz w:val="20"/>
      </w:rPr>
    </w:lvl>
    <w:lvl w:ilvl="2" w:tplc="A8DEE1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834BC"/>
    <w:multiLevelType w:val="hybridMultilevel"/>
    <w:tmpl w:val="D662229A"/>
    <w:lvl w:ilvl="0" w:tplc="33BC2994">
      <w:start w:val="1"/>
      <w:numFmt w:val="lowerLetter"/>
      <w:lvlText w:val="%1."/>
      <w:lvlJc w:val="left"/>
      <w:pPr>
        <w:ind w:left="720" w:hanging="360"/>
      </w:pPr>
      <w:rPr>
        <w:rFonts w:hint="default"/>
        <w:b w:val="0"/>
        <w:i w:val="0"/>
        <w:sz w:val="20"/>
      </w:rPr>
    </w:lvl>
    <w:lvl w:ilvl="1" w:tplc="58D0BE92" w:tentative="1">
      <w:start w:val="1"/>
      <w:numFmt w:val="lowerLetter"/>
      <w:lvlText w:val="%2."/>
      <w:lvlJc w:val="left"/>
      <w:pPr>
        <w:ind w:left="1440" w:hanging="360"/>
      </w:pPr>
      <w:rPr>
        <w:b w:val="0"/>
        <w:i w:val="0"/>
        <w:sz w:val="20"/>
      </w:rPr>
    </w:lvl>
    <w:lvl w:ilvl="2" w:tplc="B73E626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90169"/>
    <w:multiLevelType w:val="multilevel"/>
    <w:tmpl w:val="C4FCA0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4E7ED4"/>
    <w:multiLevelType w:val="multilevel"/>
    <w:tmpl w:val="B656785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F9175F"/>
    <w:multiLevelType w:val="multilevel"/>
    <w:tmpl w:val="7C60DAA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E758C3"/>
    <w:multiLevelType w:val="multilevel"/>
    <w:tmpl w:val="CCFA49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094C58"/>
    <w:multiLevelType w:val="multilevel"/>
    <w:tmpl w:val="16E8207E"/>
    <w:lvl w:ilvl="0">
      <w:start w:val="1"/>
      <w:numFmt w:val="decimal"/>
      <w:lvlText w:val="8.%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E3D7977"/>
    <w:multiLevelType w:val="multilevel"/>
    <w:tmpl w:val="952E6EE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4"/>
  </w:num>
  <w:num w:numId="4">
    <w:abstractNumId w:val="5"/>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7E"/>
    <w:rsid w:val="001C374F"/>
    <w:rsid w:val="00672EC5"/>
    <w:rsid w:val="009D3498"/>
    <w:rsid w:val="00A06B27"/>
    <w:rsid w:val="00B6574F"/>
    <w:rsid w:val="00D7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57584"/>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57584"/>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D57584"/>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80" w:line="360" w:lineRule="auto"/>
      <w:ind w:firstLine="40"/>
    </w:pPr>
    <w:rPr>
      <w:rFonts w:ascii="Times New Roman" w:eastAsia="Times New Roman" w:hAnsi="Times New Roman" w:cs="Times New Roman"/>
    </w:rPr>
  </w:style>
  <w:style w:type="paragraph" w:customStyle="1" w:styleId="Vnbnnidung30">
    <w:name w:val="Văn bản nội dung (3)"/>
    <w:basedOn w:val="Normal"/>
    <w:link w:val="Vnbnnidung3"/>
    <w:pPr>
      <w:spacing w:line="254" w:lineRule="auto"/>
      <w:jc w:val="center"/>
    </w:pPr>
    <w:rPr>
      <w:rFonts w:ascii="Arial" w:eastAsia="Arial" w:hAnsi="Arial" w:cs="Arial"/>
      <w:b/>
      <w:bCs/>
      <w:color w:val="D57584"/>
      <w:sz w:val="17"/>
      <w:szCs w:val="17"/>
    </w:rPr>
  </w:style>
  <w:style w:type="paragraph" w:customStyle="1" w:styleId="Vnbnnidung40">
    <w:name w:val="Văn bản nội dung (4)"/>
    <w:basedOn w:val="Normal"/>
    <w:link w:val="Vnbnnidung4"/>
    <w:pPr>
      <w:spacing w:line="218" w:lineRule="auto"/>
      <w:ind w:firstLine="280"/>
    </w:pPr>
    <w:rPr>
      <w:rFonts w:ascii="Arial" w:eastAsia="Arial" w:hAnsi="Arial" w:cs="Arial"/>
      <w:smallCaps/>
      <w:color w:val="D57584"/>
      <w:sz w:val="30"/>
      <w:szCs w:val="30"/>
    </w:rPr>
  </w:style>
  <w:style w:type="paragraph" w:customStyle="1" w:styleId="Vnbnnidung20">
    <w:name w:val="Văn bản nội dung (2)"/>
    <w:basedOn w:val="Normal"/>
    <w:link w:val="Vnbnnidung2"/>
    <w:pPr>
      <w:spacing w:after="300"/>
      <w:jc w:val="center"/>
    </w:pPr>
    <w:rPr>
      <w:rFonts w:ascii="Times New Roman" w:eastAsia="Times New Roman" w:hAnsi="Times New Roman" w:cs="Times New Roman"/>
      <w:b/>
      <w:bCs/>
      <w:sz w:val="30"/>
      <w:szCs w:val="30"/>
    </w:rPr>
  </w:style>
  <w:style w:type="paragraph" w:customStyle="1" w:styleId="Tiu20">
    <w:name w:val="Tiêu đề #2"/>
    <w:basedOn w:val="Normal"/>
    <w:link w:val="Tiu2"/>
    <w:pPr>
      <w:spacing w:after="20" w:line="360" w:lineRule="auto"/>
      <w:ind w:firstLine="190"/>
      <w:jc w:val="center"/>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outlineLvl w:val="0"/>
    </w:pPr>
    <w:rPr>
      <w:rFonts w:ascii="Times New Roman" w:eastAsia="Times New Roman" w:hAnsi="Times New Roman" w:cs="Times New Roman"/>
      <w:color w:val="D57584"/>
      <w:sz w:val="32"/>
      <w:szCs w:val="32"/>
    </w:rPr>
  </w:style>
  <w:style w:type="paragraph" w:customStyle="1" w:styleId="Khc0">
    <w:name w:val="Khác"/>
    <w:basedOn w:val="Normal"/>
    <w:link w:val="Khc"/>
    <w:pPr>
      <w:spacing w:after="80" w:line="360" w:lineRule="auto"/>
      <w:ind w:firstLine="40"/>
    </w:pPr>
    <w:rPr>
      <w:rFonts w:ascii="Times New Roman" w:eastAsia="Times New Roman" w:hAnsi="Times New Roman" w:cs="Times New Roman"/>
    </w:rPr>
  </w:style>
  <w:style w:type="paragraph" w:customStyle="1" w:styleId="Chthchbng0">
    <w:name w:val="Chú thích bảng"/>
    <w:basedOn w:val="Normal"/>
    <w:link w:val="Chthchbng"/>
    <w:pPr>
      <w:spacing w:line="269" w:lineRule="auto"/>
      <w:ind w:firstLine="230"/>
    </w:pPr>
    <w:rPr>
      <w:rFonts w:ascii="Times New Roman" w:eastAsia="Times New Roman" w:hAnsi="Times New Roman" w:cs="Times New Roman"/>
    </w:rPr>
  </w:style>
  <w:style w:type="table" w:styleId="TableGrid">
    <w:name w:val="Table Grid"/>
    <w:basedOn w:val="TableNormal"/>
    <w:uiPriority w:val="39"/>
    <w:rsid w:val="00AD0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C3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57584"/>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57584"/>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D57584"/>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80" w:line="360" w:lineRule="auto"/>
      <w:ind w:firstLine="40"/>
    </w:pPr>
    <w:rPr>
      <w:rFonts w:ascii="Times New Roman" w:eastAsia="Times New Roman" w:hAnsi="Times New Roman" w:cs="Times New Roman"/>
    </w:rPr>
  </w:style>
  <w:style w:type="paragraph" w:customStyle="1" w:styleId="Vnbnnidung30">
    <w:name w:val="Văn bản nội dung (3)"/>
    <w:basedOn w:val="Normal"/>
    <w:link w:val="Vnbnnidung3"/>
    <w:pPr>
      <w:spacing w:line="254" w:lineRule="auto"/>
      <w:jc w:val="center"/>
    </w:pPr>
    <w:rPr>
      <w:rFonts w:ascii="Arial" w:eastAsia="Arial" w:hAnsi="Arial" w:cs="Arial"/>
      <w:b/>
      <w:bCs/>
      <w:color w:val="D57584"/>
      <w:sz w:val="17"/>
      <w:szCs w:val="17"/>
    </w:rPr>
  </w:style>
  <w:style w:type="paragraph" w:customStyle="1" w:styleId="Vnbnnidung40">
    <w:name w:val="Văn bản nội dung (4)"/>
    <w:basedOn w:val="Normal"/>
    <w:link w:val="Vnbnnidung4"/>
    <w:pPr>
      <w:spacing w:line="218" w:lineRule="auto"/>
      <w:ind w:firstLine="280"/>
    </w:pPr>
    <w:rPr>
      <w:rFonts w:ascii="Arial" w:eastAsia="Arial" w:hAnsi="Arial" w:cs="Arial"/>
      <w:smallCaps/>
      <w:color w:val="D57584"/>
      <w:sz w:val="30"/>
      <w:szCs w:val="30"/>
    </w:rPr>
  </w:style>
  <w:style w:type="paragraph" w:customStyle="1" w:styleId="Vnbnnidung20">
    <w:name w:val="Văn bản nội dung (2)"/>
    <w:basedOn w:val="Normal"/>
    <w:link w:val="Vnbnnidung2"/>
    <w:pPr>
      <w:spacing w:after="300"/>
      <w:jc w:val="center"/>
    </w:pPr>
    <w:rPr>
      <w:rFonts w:ascii="Times New Roman" w:eastAsia="Times New Roman" w:hAnsi="Times New Roman" w:cs="Times New Roman"/>
      <w:b/>
      <w:bCs/>
      <w:sz w:val="30"/>
      <w:szCs w:val="30"/>
    </w:rPr>
  </w:style>
  <w:style w:type="paragraph" w:customStyle="1" w:styleId="Tiu20">
    <w:name w:val="Tiêu đề #2"/>
    <w:basedOn w:val="Normal"/>
    <w:link w:val="Tiu2"/>
    <w:pPr>
      <w:spacing w:after="20" w:line="360" w:lineRule="auto"/>
      <w:ind w:firstLine="190"/>
      <w:jc w:val="center"/>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outlineLvl w:val="0"/>
    </w:pPr>
    <w:rPr>
      <w:rFonts w:ascii="Times New Roman" w:eastAsia="Times New Roman" w:hAnsi="Times New Roman" w:cs="Times New Roman"/>
      <w:color w:val="D57584"/>
      <w:sz w:val="32"/>
      <w:szCs w:val="32"/>
    </w:rPr>
  </w:style>
  <w:style w:type="paragraph" w:customStyle="1" w:styleId="Khc0">
    <w:name w:val="Khác"/>
    <w:basedOn w:val="Normal"/>
    <w:link w:val="Khc"/>
    <w:pPr>
      <w:spacing w:after="80" w:line="360" w:lineRule="auto"/>
      <w:ind w:firstLine="40"/>
    </w:pPr>
    <w:rPr>
      <w:rFonts w:ascii="Times New Roman" w:eastAsia="Times New Roman" w:hAnsi="Times New Roman" w:cs="Times New Roman"/>
    </w:rPr>
  </w:style>
  <w:style w:type="paragraph" w:customStyle="1" w:styleId="Chthchbng0">
    <w:name w:val="Chú thích bảng"/>
    <w:basedOn w:val="Normal"/>
    <w:link w:val="Chthchbng"/>
    <w:pPr>
      <w:spacing w:line="269" w:lineRule="auto"/>
      <w:ind w:firstLine="230"/>
    </w:pPr>
    <w:rPr>
      <w:rFonts w:ascii="Times New Roman" w:eastAsia="Times New Roman" w:hAnsi="Times New Roman" w:cs="Times New Roman"/>
    </w:rPr>
  </w:style>
  <w:style w:type="table" w:styleId="TableGrid">
    <w:name w:val="Table Grid"/>
    <w:basedOn w:val="TableNormal"/>
    <w:uiPriority w:val="39"/>
    <w:rsid w:val="00AD0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C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Qmq6qEM8v/G7fv49xD/XlNApDw==">CgMxLjA4AHIhMWZlV3NLeGJUYzZ4dFZ2QVZNVTBuRVNDanFXVGZ3NGNI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986</Words>
  <Characters>5178</Characters>
  <Application>Microsoft Office Word</Application>
  <DocSecurity>0</DocSecurity>
  <Lines>43</Lines>
  <Paragraphs>12</Paragraphs>
  <ScaleCrop>false</ScaleCrop>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2024-05-06T07:33:00Z</dcterms:created>
  <dcterms:modified xsi:type="dcterms:W3CDTF">2024-05-07T09:10:00Z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a50bdb1a89ea377da749182be327d7928f91ba25577530e76f719640b78e1637</vt:lpwstr>
  </property>
</Properties>
</file>