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TR1:</w:t>
      </w:r>
      <w:r>
        <w:rPr>
          <w:rFonts w:ascii="Arial" w:hAnsi="Arial"/>
          <w:b/>
          <w:sz w:val="20"/>
        </w:rPr>
        <w:t xml:space="preserve"> Annual General Mandate 2024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April 26, 2024, </w:t>
      </w:r>
      <w:proofErr w:type="spellStart"/>
      <w:r>
        <w:rPr>
          <w:rFonts w:ascii="Arial" w:hAnsi="Arial"/>
          <w:sz w:val="20"/>
        </w:rPr>
        <w:t>Traco</w:t>
      </w:r>
      <w:proofErr w:type="spellEnd"/>
      <w:r>
        <w:rPr>
          <w:rFonts w:ascii="Arial" w:hAnsi="Arial"/>
          <w:sz w:val="20"/>
        </w:rPr>
        <w:t xml:space="preserve"> Transport Joint Stock Corporation No.1 announced General Mandate No. 146/NQ-DHCD as follows:</w:t>
      </w:r>
      <w:bookmarkStart w:id="0" w:name="_GoBack"/>
      <w:bookmarkEnd w:id="0"/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1: Approve the following reports:</w:t>
      </w:r>
    </w:p>
    <w:p w:rsidR="009079E4" w:rsidRPr="00E450B6" w:rsidRDefault="00926D9B" w:rsidP="00B37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Report on the Business and Production results in 2023 of the Board of Directors, and the plan and </w:t>
      </w:r>
      <w:r w:rsidRPr="00E450B6">
        <w:rPr>
          <w:rFonts w:ascii="Arial" w:hAnsi="Arial"/>
          <w:sz w:val="20"/>
        </w:rPr>
        <w:t>solutions for 2024;</w:t>
      </w:r>
    </w:p>
    <w:p w:rsidR="009079E4" w:rsidRPr="00E450B6" w:rsidRDefault="00926D9B" w:rsidP="00B37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E450B6">
        <w:rPr>
          <w:rFonts w:ascii="Arial" w:hAnsi="Arial"/>
          <w:sz w:val="20"/>
        </w:rPr>
        <w:t>Production and business result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7"/>
        <w:gridCol w:w="1885"/>
        <w:gridCol w:w="1950"/>
        <w:gridCol w:w="1835"/>
        <w:gridCol w:w="1835"/>
      </w:tblGrid>
      <w:tr w:rsidR="009079E4" w:rsidRPr="00E450B6" w:rsidTr="004F3E9C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Output volume (ton)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Revenue (VND)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Service Revenue (VND)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Profit (VND)</w:t>
            </w:r>
          </w:p>
        </w:tc>
      </w:tr>
      <w:tr w:rsidR="009079E4" w:rsidRPr="00E450B6" w:rsidTr="004F3E9C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4F3E9C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1,520,000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412,720,000,000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33,000,000,000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8,000,000,000</w:t>
            </w:r>
          </w:p>
        </w:tc>
      </w:tr>
      <w:tr w:rsidR="009079E4" w:rsidRPr="00E450B6" w:rsidTr="004F3E9C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Results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1,600,000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377,271,829,153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49,795,659,788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11,420,333,745</w:t>
            </w:r>
          </w:p>
        </w:tc>
      </w:tr>
      <w:tr w:rsidR="009079E4" w:rsidRPr="00E450B6" w:rsidTr="004F3E9C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Rate (%)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105%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91%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150%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142%</w:t>
            </w:r>
          </w:p>
        </w:tc>
      </w:tr>
    </w:tbl>
    <w:p w:rsidR="009079E4" w:rsidRPr="00E450B6" w:rsidRDefault="00926D9B" w:rsidP="00B37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E450B6">
        <w:rPr>
          <w:rFonts w:ascii="Arial" w:hAnsi="Arial"/>
          <w:sz w:val="20"/>
        </w:rPr>
        <w:t>Plan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9"/>
        <w:gridCol w:w="2704"/>
        <w:gridCol w:w="2309"/>
        <w:gridCol w:w="2320"/>
      </w:tblGrid>
      <w:tr w:rsidR="009079E4" w:rsidRPr="00E450B6" w:rsidTr="004F3E9C">
        <w:tc>
          <w:tcPr>
            <w:tcW w:w="10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Output (ton)</w:t>
            </w:r>
          </w:p>
        </w:tc>
        <w:tc>
          <w:tcPr>
            <w:tcW w:w="1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Revenue (VND)</w:t>
            </w:r>
          </w:p>
        </w:tc>
        <w:tc>
          <w:tcPr>
            <w:tcW w:w="1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Service Revenue (VND)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Profit (billion VND)</w:t>
            </w:r>
          </w:p>
        </w:tc>
      </w:tr>
      <w:tr w:rsidR="009079E4" w:rsidRPr="004F3E9C" w:rsidTr="004F3E9C">
        <w:tc>
          <w:tcPr>
            <w:tcW w:w="10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1,600,000</w:t>
            </w:r>
          </w:p>
        </w:tc>
        <w:tc>
          <w:tcPr>
            <w:tcW w:w="1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540,000,000,000</w:t>
            </w:r>
          </w:p>
        </w:tc>
        <w:tc>
          <w:tcPr>
            <w:tcW w:w="1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E450B6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33,000,000,000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50B6">
              <w:rPr>
                <w:rFonts w:ascii="Arial" w:hAnsi="Arial"/>
                <w:sz w:val="20"/>
              </w:rPr>
              <w:t>9,000,000,000</w:t>
            </w:r>
          </w:p>
        </w:tc>
      </w:tr>
    </w:tbl>
    <w:p w:rsidR="009079E4" w:rsidRPr="004F3E9C" w:rsidRDefault="00926D9B" w:rsidP="00B37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Report of the Supervisory Board on the supervision work in 2023 and plan for 2024</w:t>
      </w:r>
    </w:p>
    <w:p w:rsidR="009079E4" w:rsidRPr="004F3E9C" w:rsidRDefault="00926D9B" w:rsidP="00B37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Audited Financial Statements 2023.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2: Approve the Profit Distribution Plan for 2023: The Meeting agreed to approve the profit distribution for 2023 specifically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88"/>
        <w:gridCol w:w="5688"/>
        <w:gridCol w:w="2366"/>
      </w:tblGrid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Amount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11,420,333,745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distribution in 2023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10,388,735,000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funds from profit after tax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3,500,000,000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079E4" w:rsidP="004F3E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which: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079E4" w:rsidP="004F3E9C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Bonus fund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685,220,000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Welfare fund: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685,220,000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Investment and development fund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2,129,560,000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 of 2023: 15%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6,888,735,000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4F3E9C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Remaining profit 2023 (C= A-B)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1,031,598,745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D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Remaining profit in previous years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10,238,622,983</w:t>
            </w:r>
          </w:p>
        </w:tc>
      </w:tr>
      <w:tr w:rsidR="009079E4" w:rsidRPr="004F3E9C" w:rsidTr="004F3E9C"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3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remaining profit (E = C+ D)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79E4" w:rsidRPr="004F3E9C" w:rsidRDefault="00926D9B" w:rsidP="004F3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11,270,221,728</w:t>
            </w:r>
          </w:p>
        </w:tc>
      </w:tr>
    </w:tbl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3: Approve the remuneration rate of the Board of Directors, the Supervisory Board and the Company’s Secretariat in 2024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Chair of the Board of Directors: VND 4,000,000/month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Vice Chair of the Board of Directors: VND 3,000,000/month 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Member of the Board of Directors VND 2,000,000/month 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Chief of the Supervisory Board VND 3,000,000/month 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Member of the Supervisory Board VND 1,500,000/month 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Company’s Secretariat: VND 500,000/month 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4: Approve the selection of an audit company for the fiscal year 2024.</w:t>
      </w:r>
    </w:p>
    <w:p w:rsidR="009079E4" w:rsidRPr="004F3E9C" w:rsidRDefault="00926D9B" w:rsidP="00B373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General Mandate was approved by the Annual General Meeting of Shareholders 2024 of on April 26, 2024. The Board of Directors bases on this General Mandate to implement.</w:t>
      </w:r>
    </w:p>
    <w:sectPr w:rsidR="009079E4" w:rsidRPr="004F3E9C" w:rsidSect="004F3E9C">
      <w:headerReference w:type="default" r:id="rId9"/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9B" w:rsidRDefault="00926D9B">
      <w:r>
        <w:separator/>
      </w:r>
    </w:p>
  </w:endnote>
  <w:endnote w:type="continuationSeparator" w:id="0">
    <w:p w:rsidR="00926D9B" w:rsidRDefault="0092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9B" w:rsidRDefault="00926D9B">
      <w:r>
        <w:separator/>
      </w:r>
    </w:p>
  </w:footnote>
  <w:footnote w:type="continuationSeparator" w:id="0">
    <w:p w:rsidR="00926D9B" w:rsidRDefault="0092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E4" w:rsidRDefault="00907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19E"/>
    <w:multiLevelType w:val="multilevel"/>
    <w:tmpl w:val="4BE270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C50FE7"/>
    <w:multiLevelType w:val="multilevel"/>
    <w:tmpl w:val="1B003FA4"/>
    <w:lvl w:ilvl="0">
      <w:start w:val="9"/>
      <w:numFmt w:val="bullet"/>
      <w:lvlText w:val="●"/>
      <w:lvlJc w:val="left"/>
      <w:pPr>
        <w:ind w:left="708" w:hanging="708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E4"/>
    <w:rsid w:val="004F3E9C"/>
    <w:rsid w:val="009079E4"/>
    <w:rsid w:val="00926D9B"/>
    <w:rsid w:val="00B373DC"/>
    <w:rsid w:val="00D506ED"/>
    <w:rsid w:val="00E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u w:val="single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Other0">
    <w:name w:val="Other"/>
    <w:basedOn w:val="Normal"/>
    <w:link w:val="Other"/>
    <w:pPr>
      <w:spacing w:line="310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u w:val="single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Other0">
    <w:name w:val="Other"/>
    <w:basedOn w:val="Normal"/>
    <w:link w:val="Other"/>
    <w:pPr>
      <w:spacing w:line="310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ZGKxVYzAmHf9XaI6F9GEQd5Ewg==">CgMxLjA4AHIhMThyX1RONXJ0cUlFOTRkQXNBOHBnMFdpNmE5NXl1Q05R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2024-05-08T03:59:00Z</dcterms:created>
  <dcterms:modified xsi:type="dcterms:W3CDTF">2024-05-09T07:19:00Z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05549a831410f716bb6eeaaba1f7190aac7efa8911b1840e151922e48d324dcc</vt:lpwstr>
  </property>
</Properties>
</file>