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B8" w:rsidRPr="0091616E" w:rsidRDefault="0091616E" w:rsidP="00B4268F">
      <w:pPr>
        <w:pBdr>
          <w:top w:val="nil"/>
          <w:left w:val="nil"/>
          <w:bottom w:val="nil"/>
          <w:right w:val="nil"/>
          <w:between w:val="nil"/>
        </w:pBdr>
        <w:tabs>
          <w:tab w:val="left" w:pos="3909"/>
        </w:tabs>
        <w:spacing w:after="120" w:line="360" w:lineRule="auto"/>
        <w:jc w:val="both"/>
        <w:rPr>
          <w:rFonts w:ascii="Arial" w:eastAsia="Arial" w:hAnsi="Arial" w:cs="Arial"/>
          <w:b/>
          <w:sz w:val="20"/>
          <w:szCs w:val="20"/>
        </w:rPr>
      </w:pPr>
      <w:r>
        <w:rPr>
          <w:rFonts w:ascii="Arial" w:hAnsi="Arial"/>
          <w:b/>
          <w:bCs/>
          <w:sz w:val="20"/>
        </w:rPr>
        <w:t>TV4:</w:t>
      </w:r>
      <w:r>
        <w:rPr>
          <w:rFonts w:ascii="Arial" w:hAnsi="Arial"/>
          <w:b/>
          <w:sz w:val="20"/>
        </w:rPr>
        <w:t xml:space="preserve"> Annual General Mandate 2024</w:t>
      </w:r>
    </w:p>
    <w:p w:rsidR="009A21B8" w:rsidRPr="0091616E" w:rsidRDefault="0091616E" w:rsidP="00B4268F">
      <w:pPr>
        <w:pBdr>
          <w:top w:val="nil"/>
          <w:left w:val="nil"/>
          <w:bottom w:val="nil"/>
          <w:right w:val="nil"/>
          <w:between w:val="nil"/>
        </w:pBdr>
        <w:tabs>
          <w:tab w:val="left" w:pos="3909"/>
        </w:tabs>
        <w:spacing w:after="120" w:line="360" w:lineRule="auto"/>
        <w:jc w:val="both"/>
        <w:rPr>
          <w:rFonts w:ascii="Arial" w:eastAsia="Arial" w:hAnsi="Arial" w:cs="Arial"/>
          <w:sz w:val="20"/>
          <w:szCs w:val="20"/>
        </w:rPr>
      </w:pPr>
      <w:r>
        <w:rPr>
          <w:rFonts w:ascii="Arial" w:hAnsi="Arial"/>
          <w:sz w:val="20"/>
        </w:rPr>
        <w:t xml:space="preserve">On April 26, 2024, Power Engineering Consulting JSC 4 announced General Mandate No. 290/2024/NQ-DHDCD as follows: </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of the Boa</w:t>
      </w:r>
      <w:r w:rsidR="00B4268F">
        <w:rPr>
          <w:rFonts w:ascii="Arial" w:hAnsi="Arial"/>
          <w:sz w:val="20"/>
        </w:rPr>
        <w:t xml:space="preserve">rd of Directors in 2023 and </w:t>
      </w:r>
      <w:r>
        <w:rPr>
          <w:rFonts w:ascii="Arial" w:hAnsi="Arial"/>
          <w:sz w:val="20"/>
        </w:rPr>
        <w:t>plan for 2024.</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Report of the S</w:t>
      </w:r>
      <w:r w:rsidR="00B4268F">
        <w:rPr>
          <w:rFonts w:ascii="Arial" w:hAnsi="Arial"/>
          <w:sz w:val="20"/>
        </w:rPr>
        <w:t>upervisory Board in 2023 and</w:t>
      </w:r>
      <w:r>
        <w:rPr>
          <w:rFonts w:ascii="Arial" w:hAnsi="Arial"/>
          <w:sz w:val="20"/>
        </w:rPr>
        <w:t xml:space="preserve"> Plan for 2024;</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audite</w:t>
      </w:r>
      <w:r w:rsidR="00B4268F">
        <w:rPr>
          <w:rFonts w:ascii="Arial" w:hAnsi="Arial"/>
          <w:sz w:val="20"/>
        </w:rPr>
        <w:t>d Financial Statements 2023 and</w:t>
      </w:r>
      <w:r>
        <w:rPr>
          <w:rFonts w:ascii="Arial" w:hAnsi="Arial"/>
          <w:sz w:val="20"/>
        </w:rPr>
        <w:t xml:space="preserve"> production and business results in 2023 with main targets as follows:</w:t>
      </w:r>
    </w:p>
    <w:p w:rsidR="009A21B8" w:rsidRPr="0091616E" w:rsidRDefault="0091616E" w:rsidP="00B4268F">
      <w:pPr>
        <w:numPr>
          <w:ilvl w:val="0"/>
          <w:numId w:val="6"/>
        </w:numPr>
        <w:pBdr>
          <w:top w:val="nil"/>
          <w:left w:val="nil"/>
          <w:bottom w:val="nil"/>
          <w:right w:val="nil"/>
          <w:between w:val="nil"/>
        </w:pBdr>
        <w:tabs>
          <w:tab w:val="left" w:pos="272"/>
          <w:tab w:val="left" w:pos="3638"/>
        </w:tabs>
        <w:spacing w:after="120" w:line="360" w:lineRule="auto"/>
        <w:jc w:val="both"/>
        <w:rPr>
          <w:rFonts w:ascii="Arial" w:eastAsia="Arial" w:hAnsi="Arial" w:cs="Arial"/>
          <w:sz w:val="20"/>
          <w:szCs w:val="20"/>
        </w:rPr>
      </w:pPr>
      <w:r>
        <w:rPr>
          <w:rFonts w:ascii="Arial" w:hAnsi="Arial"/>
          <w:sz w:val="20"/>
        </w:rPr>
        <w:t>Revenue:</w:t>
      </w:r>
      <w:r>
        <w:rPr>
          <w:rFonts w:ascii="Arial" w:hAnsi="Arial"/>
          <w:sz w:val="20"/>
        </w:rPr>
        <w:tab/>
        <w:t>VND 226,153 million.</w:t>
      </w:r>
    </w:p>
    <w:p w:rsidR="009A21B8" w:rsidRPr="0091616E" w:rsidRDefault="0091616E" w:rsidP="00B4268F">
      <w:pPr>
        <w:numPr>
          <w:ilvl w:val="0"/>
          <w:numId w:val="6"/>
        </w:numPr>
        <w:pBdr>
          <w:top w:val="nil"/>
          <w:left w:val="nil"/>
          <w:bottom w:val="nil"/>
          <w:right w:val="nil"/>
          <w:between w:val="nil"/>
        </w:pBdr>
        <w:tabs>
          <w:tab w:val="left" w:pos="272"/>
          <w:tab w:val="left" w:pos="3638"/>
        </w:tabs>
        <w:spacing w:after="120" w:line="360" w:lineRule="auto"/>
        <w:jc w:val="both"/>
        <w:rPr>
          <w:rFonts w:ascii="Arial" w:eastAsia="Arial" w:hAnsi="Arial" w:cs="Arial"/>
          <w:sz w:val="20"/>
          <w:szCs w:val="20"/>
        </w:rPr>
      </w:pPr>
      <w:r>
        <w:rPr>
          <w:rFonts w:ascii="Arial" w:hAnsi="Arial"/>
          <w:sz w:val="20"/>
        </w:rPr>
        <w:t>Profit before tax:</w:t>
      </w:r>
      <w:r>
        <w:rPr>
          <w:rFonts w:ascii="Arial" w:hAnsi="Arial"/>
          <w:sz w:val="20"/>
        </w:rPr>
        <w:tab/>
        <w:t>VND 36,216 million.</w:t>
      </w:r>
    </w:p>
    <w:p w:rsidR="009A21B8" w:rsidRPr="0091616E" w:rsidRDefault="0091616E" w:rsidP="00B4268F">
      <w:pPr>
        <w:numPr>
          <w:ilvl w:val="0"/>
          <w:numId w:val="6"/>
        </w:numPr>
        <w:pBdr>
          <w:top w:val="nil"/>
          <w:left w:val="nil"/>
          <w:bottom w:val="nil"/>
          <w:right w:val="nil"/>
          <w:between w:val="nil"/>
        </w:pBdr>
        <w:tabs>
          <w:tab w:val="left" w:pos="272"/>
          <w:tab w:val="left" w:pos="3638"/>
        </w:tabs>
        <w:spacing w:after="120" w:line="360" w:lineRule="auto"/>
        <w:jc w:val="both"/>
        <w:rPr>
          <w:rFonts w:ascii="Arial" w:eastAsia="Arial" w:hAnsi="Arial" w:cs="Arial"/>
          <w:sz w:val="20"/>
          <w:szCs w:val="20"/>
        </w:rPr>
      </w:pPr>
      <w:r>
        <w:rPr>
          <w:rFonts w:ascii="Arial" w:hAnsi="Arial"/>
          <w:sz w:val="20"/>
        </w:rPr>
        <w:t>Profit after tax:</w:t>
      </w:r>
      <w:r>
        <w:rPr>
          <w:rFonts w:ascii="Arial" w:hAnsi="Arial"/>
          <w:sz w:val="20"/>
        </w:rPr>
        <w:tab/>
        <w:t>VND 32,758 million;</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plan on profit distribution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6"/>
        <w:gridCol w:w="5557"/>
        <w:gridCol w:w="2483"/>
      </w:tblGrid>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 (VND)</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distributed profit</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33,058,453,486</w:t>
            </w:r>
          </w:p>
        </w:tc>
      </w:tr>
      <w:tr w:rsidR="009A21B8" w:rsidRPr="0091616E" w:rsidTr="0091616E">
        <w:tc>
          <w:tcPr>
            <w:tcW w:w="541" w:type="pct"/>
            <w:shd w:val="clear" w:color="auto" w:fill="auto"/>
            <w:tcMar>
              <w:top w:w="0" w:type="dxa"/>
              <w:bottom w:w="0" w:type="dxa"/>
            </w:tcMar>
            <w:vAlign w:val="center"/>
          </w:tcPr>
          <w:p w:rsidR="009A21B8" w:rsidRPr="0091616E" w:rsidRDefault="009A21B8" w:rsidP="0091616E">
            <w:pPr>
              <w:spacing w:after="120" w:line="360" w:lineRule="auto"/>
              <w:jc w:val="center"/>
              <w:rPr>
                <w:rFonts w:ascii="Arial" w:eastAsia="Arial" w:hAnsi="Arial" w:cs="Arial"/>
                <w:sz w:val="20"/>
                <w:szCs w:val="20"/>
              </w:rPr>
            </w:pPr>
          </w:p>
        </w:tc>
        <w:tc>
          <w:tcPr>
            <w:tcW w:w="3082" w:type="pct"/>
            <w:shd w:val="clear" w:color="auto" w:fill="auto"/>
            <w:tcMar>
              <w:top w:w="0" w:type="dxa"/>
              <w:bottom w:w="0" w:type="dxa"/>
            </w:tcMar>
            <w:vAlign w:val="center"/>
          </w:tcPr>
          <w:p w:rsidR="009A21B8" w:rsidRPr="0091616E" w:rsidRDefault="0091616E" w:rsidP="0091616E">
            <w:pPr>
              <w:numPr>
                <w:ilvl w:val="0"/>
                <w:numId w:val="7"/>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after tax in 2023 (*)</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32,757,796,650</w:t>
            </w:r>
          </w:p>
        </w:tc>
      </w:tr>
      <w:tr w:rsidR="009A21B8" w:rsidRPr="0091616E" w:rsidTr="0091616E">
        <w:tc>
          <w:tcPr>
            <w:tcW w:w="541" w:type="pct"/>
            <w:shd w:val="clear" w:color="auto" w:fill="auto"/>
            <w:tcMar>
              <w:top w:w="0" w:type="dxa"/>
              <w:bottom w:w="0" w:type="dxa"/>
            </w:tcMar>
            <w:vAlign w:val="center"/>
          </w:tcPr>
          <w:p w:rsidR="009A21B8" w:rsidRPr="0091616E" w:rsidRDefault="009A21B8" w:rsidP="0091616E">
            <w:pPr>
              <w:spacing w:after="120" w:line="360" w:lineRule="auto"/>
              <w:jc w:val="center"/>
              <w:rPr>
                <w:rFonts w:ascii="Arial" w:eastAsia="Arial" w:hAnsi="Arial" w:cs="Arial"/>
                <w:sz w:val="20"/>
                <w:szCs w:val="20"/>
              </w:rPr>
            </w:pPr>
          </w:p>
        </w:tc>
        <w:tc>
          <w:tcPr>
            <w:tcW w:w="3082" w:type="pct"/>
            <w:shd w:val="clear" w:color="auto" w:fill="auto"/>
            <w:tcMar>
              <w:top w:w="0" w:type="dxa"/>
              <w:bottom w:w="0" w:type="dxa"/>
            </w:tcMar>
            <w:vAlign w:val="center"/>
          </w:tcPr>
          <w:p w:rsidR="009A21B8" w:rsidRPr="0091616E" w:rsidRDefault="0091616E" w:rsidP="0091616E">
            <w:pPr>
              <w:numPr>
                <w:ilvl w:val="0"/>
                <w:numId w:val="7"/>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Remaining profit of previous years</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300,656,836</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II</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Profit distribution (1) + (2) + (3) + (4) + (5) </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33,058,453,486</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Investment and development fund (10%x*)</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3,275,780,000</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Dividends paid in cash (rate: 10%</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19,781,490,000</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 for staff (15% x*)</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4,913,669,000</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3082"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fund for the Executive Board</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230,830,000</w:t>
            </w:r>
          </w:p>
        </w:tc>
      </w:tr>
      <w:tr w:rsidR="009A21B8" w:rsidRPr="0091616E" w:rsidTr="0091616E">
        <w:tc>
          <w:tcPr>
            <w:tcW w:w="541"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3082"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profit</w:t>
            </w:r>
          </w:p>
        </w:tc>
        <w:tc>
          <w:tcPr>
            <w:tcW w:w="137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4,856,684,486</w:t>
            </w:r>
          </w:p>
        </w:tc>
      </w:tr>
    </w:tbl>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5. Approve the production and business plan for 2024 with main targets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9"/>
        <w:gridCol w:w="4303"/>
        <w:gridCol w:w="1546"/>
        <w:gridCol w:w="2398"/>
      </w:tblGrid>
      <w:tr w:rsidR="009A21B8" w:rsidRPr="0091616E" w:rsidTr="0091616E">
        <w:tc>
          <w:tcPr>
            <w:tcW w:w="42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38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85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330"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Value</w:t>
            </w:r>
          </w:p>
        </w:tc>
      </w:tr>
      <w:tr w:rsidR="009A21B8" w:rsidRPr="0091616E" w:rsidTr="0091616E">
        <w:tc>
          <w:tcPr>
            <w:tcW w:w="42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38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85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1330"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226.0</w:t>
            </w:r>
          </w:p>
        </w:tc>
      </w:tr>
      <w:tr w:rsidR="009A21B8" w:rsidRPr="0091616E" w:rsidTr="0091616E">
        <w:tc>
          <w:tcPr>
            <w:tcW w:w="42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38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85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1330"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36.2</w:t>
            </w:r>
          </w:p>
        </w:tc>
      </w:tr>
      <w:tr w:rsidR="009A21B8" w:rsidRPr="0091616E" w:rsidTr="0091616E">
        <w:tc>
          <w:tcPr>
            <w:tcW w:w="42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38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85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1330"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32.9</w:t>
            </w:r>
          </w:p>
        </w:tc>
      </w:tr>
      <w:tr w:rsidR="009A21B8" w:rsidRPr="0091616E" w:rsidTr="0091616E">
        <w:tc>
          <w:tcPr>
            <w:tcW w:w="42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386"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cash dividends</w:t>
            </w:r>
          </w:p>
        </w:tc>
        <w:tc>
          <w:tcPr>
            <w:tcW w:w="857"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330" w:type="pct"/>
            <w:shd w:val="clear" w:color="auto" w:fill="auto"/>
            <w:tcMar>
              <w:top w:w="0" w:type="dxa"/>
              <w:bottom w:w="0" w:type="dxa"/>
            </w:tcMar>
            <w:vAlign w:val="center"/>
          </w:tcPr>
          <w:p w:rsidR="009A21B8" w:rsidRPr="0091616E" w:rsidRDefault="0091616E" w:rsidP="0091616E">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w:t>
            </w:r>
          </w:p>
        </w:tc>
      </w:tr>
    </w:tbl>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Annual General Meeting 2024 authorizes the Board of Directors to decide on the adjustment of the production and business plan for 2024 in case the production and business targets reach higher levels than the above plan.</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6. Approve the Plan for construction investment and procurement of assets, machinery, and </w:t>
      </w:r>
      <w:r>
        <w:rPr>
          <w:rFonts w:ascii="Arial" w:hAnsi="Arial"/>
          <w:sz w:val="20"/>
        </w:rPr>
        <w:lastRenderedPageBreak/>
        <w:t>equipment in 2024: VND 31.5 billion;</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Approve the Profit Distribution Plan for 2024</w:t>
      </w:r>
    </w:p>
    <w:p w:rsidR="009A21B8" w:rsidRPr="0091616E" w:rsidRDefault="0091616E" w:rsidP="00B4268F">
      <w:pPr>
        <w:numPr>
          <w:ilvl w:val="0"/>
          <w:numId w:val="1"/>
        </w:numPr>
        <w:pBdr>
          <w:top w:val="nil"/>
          <w:left w:val="nil"/>
          <w:bottom w:val="nil"/>
          <w:right w:val="nil"/>
          <w:between w:val="nil"/>
        </w:pBdr>
        <w:tabs>
          <w:tab w:val="left" w:pos="272"/>
        </w:tabs>
        <w:spacing w:after="120" w:line="360" w:lineRule="auto"/>
        <w:ind w:left="0" w:firstLine="0"/>
        <w:jc w:val="both"/>
        <w:rPr>
          <w:rFonts w:ascii="Arial" w:eastAsia="Arial" w:hAnsi="Arial" w:cs="Arial"/>
          <w:sz w:val="20"/>
          <w:szCs w:val="20"/>
        </w:rPr>
      </w:pPr>
      <w:r>
        <w:rPr>
          <w:rFonts w:ascii="Arial" w:hAnsi="Arial"/>
          <w:sz w:val="20"/>
        </w:rPr>
        <w:t>Dividend payment: 10% in cash</w:t>
      </w:r>
    </w:p>
    <w:p w:rsidR="009A21B8" w:rsidRPr="0091616E" w:rsidRDefault="0091616E" w:rsidP="00B4268F">
      <w:pPr>
        <w:numPr>
          <w:ilvl w:val="0"/>
          <w:numId w:val="1"/>
        </w:numPr>
        <w:pBdr>
          <w:top w:val="nil"/>
          <w:left w:val="nil"/>
          <w:bottom w:val="nil"/>
          <w:right w:val="nil"/>
          <w:between w:val="nil"/>
        </w:pBdr>
        <w:tabs>
          <w:tab w:val="left" w:pos="272"/>
        </w:tabs>
        <w:spacing w:after="120" w:line="360" w:lineRule="auto"/>
        <w:ind w:left="0" w:firstLine="0"/>
        <w:jc w:val="both"/>
        <w:rPr>
          <w:rFonts w:ascii="Arial" w:eastAsia="Arial" w:hAnsi="Arial" w:cs="Arial"/>
          <w:sz w:val="20"/>
          <w:szCs w:val="20"/>
        </w:rPr>
      </w:pPr>
      <w:r>
        <w:rPr>
          <w:rFonts w:ascii="Arial" w:hAnsi="Arial"/>
          <w:sz w:val="20"/>
        </w:rPr>
        <w:t>Appropriation for Investment and development fund: Maximum 30% of profit after tax in 2024;</w:t>
      </w:r>
    </w:p>
    <w:p w:rsidR="009A21B8" w:rsidRPr="0091616E" w:rsidRDefault="0091616E" w:rsidP="00B4268F">
      <w:pPr>
        <w:numPr>
          <w:ilvl w:val="0"/>
          <w:numId w:val="1"/>
        </w:numPr>
        <w:pBdr>
          <w:top w:val="nil"/>
          <w:left w:val="nil"/>
          <w:bottom w:val="nil"/>
          <w:right w:val="nil"/>
          <w:between w:val="nil"/>
        </w:pBdr>
        <w:tabs>
          <w:tab w:val="left" w:pos="277"/>
        </w:tabs>
        <w:spacing w:after="120" w:line="360" w:lineRule="auto"/>
        <w:ind w:left="0" w:firstLine="0"/>
        <w:jc w:val="both"/>
        <w:rPr>
          <w:rFonts w:ascii="Arial" w:eastAsia="Arial" w:hAnsi="Arial" w:cs="Arial"/>
          <w:sz w:val="20"/>
          <w:szCs w:val="20"/>
        </w:rPr>
      </w:pPr>
      <w:r>
        <w:rPr>
          <w:rFonts w:ascii="Arial" w:hAnsi="Arial"/>
          <w:sz w:val="20"/>
        </w:rPr>
        <w:t>Appropriation for bonus and welfare fund for staff: 10% of profit after tax in 2024 and no greater than 3 months’ average realized salary of labors;</w:t>
      </w:r>
    </w:p>
    <w:p w:rsidR="009A21B8" w:rsidRPr="0091616E" w:rsidRDefault="0091616E" w:rsidP="00B4268F">
      <w:pPr>
        <w:numPr>
          <w:ilvl w:val="0"/>
          <w:numId w:val="1"/>
        </w:numPr>
        <w:pBdr>
          <w:top w:val="nil"/>
          <w:left w:val="nil"/>
          <w:bottom w:val="nil"/>
          <w:right w:val="nil"/>
          <w:between w:val="nil"/>
        </w:pBdr>
        <w:tabs>
          <w:tab w:val="left" w:pos="277"/>
        </w:tabs>
        <w:spacing w:after="120" w:line="360" w:lineRule="auto"/>
        <w:ind w:left="0" w:firstLine="0"/>
        <w:jc w:val="both"/>
        <w:rPr>
          <w:rFonts w:ascii="Arial" w:eastAsia="Arial" w:hAnsi="Arial" w:cs="Arial"/>
          <w:sz w:val="20"/>
          <w:szCs w:val="20"/>
        </w:rPr>
      </w:pPr>
      <w:r>
        <w:rPr>
          <w:rFonts w:ascii="Arial" w:hAnsi="Arial"/>
          <w:sz w:val="20"/>
        </w:rPr>
        <w:t>Appropriation f</w:t>
      </w:r>
      <w:r w:rsidR="00B4268F">
        <w:rPr>
          <w:rFonts w:ascii="Arial" w:hAnsi="Arial"/>
          <w:sz w:val="20"/>
        </w:rPr>
        <w:t>or bonus for the management</w:t>
      </w:r>
      <w:r>
        <w:rPr>
          <w:rFonts w:ascii="Arial" w:hAnsi="Arial"/>
          <w:sz w:val="20"/>
        </w:rPr>
        <w:t xml:space="preserve"> and Supervisor</w:t>
      </w:r>
      <w:r w:rsidR="00B4268F">
        <w:rPr>
          <w:rFonts w:ascii="Arial" w:hAnsi="Arial"/>
          <w:sz w:val="20"/>
        </w:rPr>
        <w:t>s</w:t>
      </w:r>
      <w:r>
        <w:rPr>
          <w:rFonts w:ascii="Arial" w:hAnsi="Arial"/>
          <w:sz w:val="20"/>
        </w:rPr>
        <w:t xml:space="preserve">: Equivalent to 1.5 </w:t>
      </w:r>
      <w:proofErr w:type="spellStart"/>
      <w:proofErr w:type="gramStart"/>
      <w:r>
        <w:rPr>
          <w:rFonts w:ascii="Arial" w:hAnsi="Arial"/>
          <w:sz w:val="20"/>
        </w:rPr>
        <w:t>months</w:t>
      </w:r>
      <w:proofErr w:type="spellEnd"/>
      <w:proofErr w:type="gramEnd"/>
      <w:r>
        <w:rPr>
          <w:rFonts w:ascii="Arial" w:hAnsi="Arial"/>
          <w:sz w:val="20"/>
        </w:rPr>
        <w:t xml:space="preserve"> salary and realized remuneration i</w:t>
      </w:r>
      <w:r w:rsidR="00B4268F">
        <w:rPr>
          <w:rFonts w:ascii="Arial" w:hAnsi="Arial"/>
          <w:sz w:val="20"/>
        </w:rPr>
        <w:t xml:space="preserve">n 2024 of manager and </w:t>
      </w:r>
      <w:r>
        <w:rPr>
          <w:rFonts w:ascii="Arial" w:hAnsi="Arial"/>
          <w:sz w:val="20"/>
        </w:rPr>
        <w:t>supervisor</w:t>
      </w:r>
      <w:r w:rsidR="00B4268F">
        <w:rPr>
          <w:rFonts w:ascii="Arial" w:hAnsi="Arial"/>
          <w:sz w:val="20"/>
        </w:rPr>
        <w:t>s</w:t>
      </w:r>
      <w:r>
        <w:rPr>
          <w:rFonts w:ascii="Arial" w:hAnsi="Arial"/>
          <w:sz w:val="20"/>
        </w:rPr>
        <w:t>.</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salary, remuneration of the Board of Directors and the Supervisory Board.</w:t>
      </w:r>
    </w:p>
    <w:p w:rsidR="009A21B8" w:rsidRPr="0091616E" w:rsidRDefault="0091616E" w:rsidP="00B4268F">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Results 2023</w:t>
      </w:r>
    </w:p>
    <w:p w:rsidR="009A21B8" w:rsidRPr="0091616E" w:rsidRDefault="0091616E" w:rsidP="00B4268F">
      <w:pPr>
        <w:numPr>
          <w:ilvl w:val="0"/>
          <w:numId w:val="1"/>
        </w:numPr>
        <w:pBdr>
          <w:top w:val="nil"/>
          <w:left w:val="nil"/>
          <w:bottom w:val="nil"/>
          <w:right w:val="nil"/>
          <w:between w:val="nil"/>
        </w:pBdr>
        <w:tabs>
          <w:tab w:val="left" w:pos="277"/>
        </w:tabs>
        <w:spacing w:after="120" w:line="360" w:lineRule="auto"/>
        <w:ind w:left="0" w:firstLine="0"/>
        <w:jc w:val="both"/>
        <w:rPr>
          <w:rFonts w:ascii="Arial" w:eastAsia="Arial" w:hAnsi="Arial" w:cs="Arial"/>
          <w:sz w:val="20"/>
          <w:szCs w:val="20"/>
        </w:rPr>
      </w:pPr>
      <w:r>
        <w:rPr>
          <w:rFonts w:ascii="Arial" w:hAnsi="Arial"/>
          <w:sz w:val="20"/>
        </w:rPr>
        <w:t>Remuneration of the Board of Directors and the Company in 2023 implemented as follows:</w:t>
      </w:r>
    </w:p>
    <w:p w:rsidR="009A21B8" w:rsidRPr="0091616E" w:rsidRDefault="0091616E" w:rsidP="00B4268F">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The Chair of the Board of Directors:</w:t>
      </w:r>
      <w:r>
        <w:rPr>
          <w:rFonts w:ascii="Arial" w:hAnsi="Arial"/>
          <w:sz w:val="20"/>
        </w:rPr>
        <w:tab/>
      </w:r>
      <w:r>
        <w:rPr>
          <w:rFonts w:ascii="Arial" w:hAnsi="Arial"/>
          <w:sz w:val="20"/>
        </w:rPr>
        <w:tab/>
        <w:t>VND 24,164,000/month;</w:t>
      </w:r>
    </w:p>
    <w:p w:rsidR="009A21B8" w:rsidRPr="0091616E" w:rsidRDefault="0091616E" w:rsidP="00B4268F">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 of the Board of Directors-cum-</w:t>
      </w:r>
      <w:r w:rsidR="00B4268F">
        <w:rPr>
          <w:rFonts w:ascii="Arial" w:hAnsi="Arial"/>
          <w:sz w:val="20"/>
        </w:rPr>
        <w:t xml:space="preserve">Managing Director: </w:t>
      </w:r>
      <w:r>
        <w:rPr>
          <w:rFonts w:ascii="Arial" w:hAnsi="Arial"/>
          <w:sz w:val="20"/>
        </w:rPr>
        <w:t>VND 23,269,000/month;</w:t>
      </w:r>
    </w:p>
    <w:p w:rsidR="009A21B8" w:rsidRPr="0091616E" w:rsidRDefault="0091616E" w:rsidP="00B4268F">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Members of the Board of Directors:</w:t>
      </w:r>
      <w:r>
        <w:rPr>
          <w:rFonts w:ascii="Arial" w:hAnsi="Arial"/>
          <w:sz w:val="20"/>
        </w:rPr>
        <w:tab/>
      </w:r>
      <w:r>
        <w:rPr>
          <w:rFonts w:ascii="Arial" w:hAnsi="Arial"/>
          <w:sz w:val="20"/>
        </w:rPr>
        <w:tab/>
      </w:r>
      <w:r>
        <w:rPr>
          <w:rFonts w:ascii="Arial" w:hAnsi="Arial"/>
          <w:sz w:val="20"/>
        </w:rPr>
        <w:tab/>
        <w:t>VND 20,583,000/month;</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total salary fund of the Board of Directors of the Company in 2023 is: VND 816.192 million;</w:t>
      </w:r>
    </w:p>
    <w:p w:rsidR="009A21B8" w:rsidRPr="0091616E" w:rsidRDefault="0091616E" w:rsidP="00B4268F">
      <w:pPr>
        <w:numPr>
          <w:ilvl w:val="0"/>
          <w:numId w:val="3"/>
        </w:numPr>
        <w:pBdr>
          <w:top w:val="nil"/>
          <w:left w:val="nil"/>
          <w:bottom w:val="nil"/>
          <w:right w:val="nil"/>
          <w:between w:val="nil"/>
        </w:pBdr>
        <w:tabs>
          <w:tab w:val="left" w:pos="272"/>
        </w:tabs>
        <w:spacing w:after="120" w:line="360" w:lineRule="auto"/>
        <w:ind w:left="0" w:firstLine="0"/>
        <w:jc w:val="both"/>
        <w:rPr>
          <w:rFonts w:ascii="Arial" w:eastAsia="Arial" w:hAnsi="Arial" w:cs="Arial"/>
          <w:sz w:val="20"/>
          <w:szCs w:val="20"/>
        </w:rPr>
      </w:pPr>
      <w:r>
        <w:rPr>
          <w:rFonts w:ascii="Arial" w:hAnsi="Arial"/>
          <w:sz w:val="20"/>
        </w:rPr>
        <w:t>Remuneration for the Board of Directors and the Supervisory Board of the Company in 2023 implemented as follows:</w:t>
      </w:r>
    </w:p>
    <w:p w:rsidR="009A21B8" w:rsidRPr="0091616E" w:rsidRDefault="0091616E" w:rsidP="00B4268F">
      <w:pPr>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 xml:space="preserve">Members of the Board of Directors: </w:t>
      </w:r>
      <w:r>
        <w:rPr>
          <w:rFonts w:ascii="Arial" w:hAnsi="Arial"/>
          <w:sz w:val="20"/>
        </w:rPr>
        <w:tab/>
      </w:r>
      <w:r>
        <w:rPr>
          <w:rFonts w:ascii="Arial" w:hAnsi="Arial"/>
          <w:sz w:val="20"/>
        </w:rPr>
        <w:tab/>
      </w:r>
      <w:r>
        <w:rPr>
          <w:rFonts w:ascii="Arial" w:hAnsi="Arial"/>
          <w:sz w:val="20"/>
        </w:rPr>
        <w:tab/>
      </w:r>
      <w:r>
        <w:rPr>
          <w:rFonts w:ascii="Arial" w:hAnsi="Arial"/>
          <w:sz w:val="20"/>
        </w:rPr>
        <w:tab/>
        <w:t>VND 4,117,000/month;</w:t>
      </w:r>
    </w:p>
    <w:p w:rsidR="009A21B8" w:rsidRPr="0091616E" w:rsidRDefault="0091616E" w:rsidP="00B4268F">
      <w:pPr>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 xml:space="preserve">Chief of the Supervisory Board: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VND 4,295,000/month;</w:t>
      </w:r>
    </w:p>
    <w:p w:rsidR="009A21B8" w:rsidRPr="0091616E" w:rsidRDefault="0091616E" w:rsidP="00B4268F">
      <w:pPr>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 xml:space="preserve">Members of the Supervisory Board: </w:t>
      </w:r>
      <w:r>
        <w:rPr>
          <w:rFonts w:ascii="Arial" w:hAnsi="Arial"/>
          <w:sz w:val="20"/>
        </w:rPr>
        <w:tab/>
      </w:r>
      <w:r>
        <w:rPr>
          <w:rFonts w:ascii="Arial" w:hAnsi="Arial"/>
          <w:sz w:val="20"/>
        </w:rPr>
        <w:tab/>
      </w:r>
      <w:r>
        <w:rPr>
          <w:rFonts w:ascii="Arial" w:hAnsi="Arial"/>
          <w:sz w:val="20"/>
        </w:rPr>
        <w:tab/>
      </w:r>
      <w:r>
        <w:rPr>
          <w:rFonts w:ascii="Arial" w:hAnsi="Arial"/>
          <w:sz w:val="20"/>
        </w:rPr>
        <w:tab/>
        <w:t>VND 4,117,000/month;</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Total Remuneration Fund implemented in 2023: </w:t>
      </w:r>
      <w:r>
        <w:rPr>
          <w:rFonts w:ascii="Arial" w:hAnsi="Arial"/>
          <w:sz w:val="20"/>
        </w:rPr>
        <w:tab/>
      </w:r>
      <w:r>
        <w:rPr>
          <w:rFonts w:ascii="Arial" w:hAnsi="Arial"/>
          <w:sz w:val="20"/>
        </w:rPr>
        <w:tab/>
      </w:r>
      <w:r>
        <w:rPr>
          <w:rFonts w:ascii="Arial" w:hAnsi="Arial"/>
          <w:sz w:val="20"/>
        </w:rPr>
        <w:tab/>
        <w:t>VND 249.156 million;</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Plan 2024 </w:t>
      </w:r>
    </w:p>
    <w:p w:rsidR="009A21B8" w:rsidRPr="0091616E" w:rsidRDefault="0091616E" w:rsidP="00B4268F">
      <w:pPr>
        <w:numPr>
          <w:ilvl w:val="0"/>
          <w:numId w:val="3"/>
        </w:numPr>
        <w:pBdr>
          <w:top w:val="nil"/>
          <w:left w:val="nil"/>
          <w:bottom w:val="nil"/>
          <w:right w:val="nil"/>
          <w:between w:val="nil"/>
        </w:pBdr>
        <w:tabs>
          <w:tab w:val="left" w:pos="272"/>
          <w:tab w:val="center" w:pos="4210"/>
          <w:tab w:val="center" w:pos="4613"/>
          <w:tab w:val="center" w:pos="5134"/>
        </w:tabs>
        <w:spacing w:after="120" w:line="360" w:lineRule="auto"/>
        <w:ind w:left="0" w:firstLine="0"/>
        <w:jc w:val="both"/>
        <w:rPr>
          <w:rFonts w:ascii="Arial" w:eastAsia="Arial" w:hAnsi="Arial" w:cs="Arial"/>
          <w:sz w:val="20"/>
          <w:szCs w:val="20"/>
        </w:rPr>
      </w:pPr>
      <w:r>
        <w:rPr>
          <w:rFonts w:ascii="Arial" w:hAnsi="Arial"/>
          <w:sz w:val="20"/>
        </w:rPr>
        <w:t>The salary of the Board of Directors for Plan 2024 is as follows:</w:t>
      </w:r>
    </w:p>
    <w:p w:rsidR="009A21B8" w:rsidRPr="0091616E" w:rsidRDefault="0091616E" w:rsidP="00B4268F">
      <w:pPr>
        <w:numPr>
          <w:ilvl w:val="0"/>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The Chair of the Board of Directors:</w:t>
      </w:r>
      <w:r>
        <w:rPr>
          <w:rFonts w:ascii="Arial" w:hAnsi="Arial"/>
          <w:sz w:val="20"/>
        </w:rPr>
        <w:tab/>
      </w:r>
      <w:r>
        <w:rPr>
          <w:rFonts w:ascii="Arial" w:hAnsi="Arial"/>
          <w:sz w:val="20"/>
        </w:rPr>
        <w:tab/>
      </w:r>
      <w:r>
        <w:rPr>
          <w:rFonts w:ascii="Arial" w:hAnsi="Arial"/>
          <w:sz w:val="20"/>
        </w:rPr>
        <w:tab/>
        <w:t>VND 35,100,000/month;</w:t>
      </w:r>
    </w:p>
    <w:p w:rsidR="009A21B8" w:rsidRPr="0091616E" w:rsidRDefault="0091616E" w:rsidP="00B4268F">
      <w:pPr>
        <w:numPr>
          <w:ilvl w:val="0"/>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 of the Board of Directors-cum-</w:t>
      </w:r>
      <w:r w:rsidR="00B4268F">
        <w:rPr>
          <w:rFonts w:ascii="Arial" w:hAnsi="Arial"/>
          <w:sz w:val="20"/>
        </w:rPr>
        <w:t>Managing Director:</w:t>
      </w:r>
      <w:r w:rsidR="00B4268F">
        <w:rPr>
          <w:rFonts w:ascii="Arial" w:hAnsi="Arial"/>
          <w:sz w:val="20"/>
        </w:rPr>
        <w:tab/>
      </w:r>
      <w:r>
        <w:rPr>
          <w:rFonts w:ascii="Arial" w:hAnsi="Arial"/>
          <w:sz w:val="20"/>
        </w:rPr>
        <w:t>VND 33,800,000/month;</w:t>
      </w:r>
    </w:p>
    <w:p w:rsidR="009A21B8" w:rsidRPr="0091616E" w:rsidRDefault="0091616E" w:rsidP="00B4268F">
      <w:pPr>
        <w:numPr>
          <w:ilvl w:val="0"/>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Members of the Board of Directors:</w:t>
      </w:r>
      <w:r>
        <w:rPr>
          <w:rFonts w:ascii="Arial" w:hAnsi="Arial"/>
          <w:sz w:val="20"/>
        </w:rPr>
        <w:tab/>
      </w:r>
      <w:r>
        <w:rPr>
          <w:rFonts w:ascii="Arial" w:hAnsi="Arial"/>
          <w:sz w:val="20"/>
        </w:rPr>
        <w:tab/>
      </w:r>
      <w:r>
        <w:rPr>
          <w:rFonts w:ascii="Arial" w:hAnsi="Arial"/>
          <w:sz w:val="20"/>
        </w:rPr>
        <w:tab/>
      </w:r>
      <w:r>
        <w:rPr>
          <w:rFonts w:ascii="Arial" w:hAnsi="Arial"/>
          <w:sz w:val="20"/>
        </w:rPr>
        <w:tab/>
        <w:t>VND 29,900,000/month;</w:t>
      </w:r>
    </w:p>
    <w:p w:rsidR="009A21B8" w:rsidRPr="0091616E" w:rsidRDefault="0091616E" w:rsidP="00B4268F">
      <w:pPr>
        <w:numPr>
          <w:ilvl w:val="0"/>
          <w:numId w:val="3"/>
        </w:numPr>
        <w:pBdr>
          <w:top w:val="nil"/>
          <w:left w:val="nil"/>
          <w:bottom w:val="nil"/>
          <w:right w:val="nil"/>
          <w:between w:val="nil"/>
        </w:pBdr>
        <w:tabs>
          <w:tab w:val="left" w:pos="272"/>
        </w:tabs>
        <w:spacing w:after="120" w:line="360" w:lineRule="auto"/>
        <w:ind w:left="0" w:firstLine="0"/>
        <w:jc w:val="both"/>
        <w:rPr>
          <w:rFonts w:ascii="Arial" w:eastAsia="Arial" w:hAnsi="Arial" w:cs="Arial"/>
          <w:sz w:val="20"/>
          <w:szCs w:val="20"/>
        </w:rPr>
      </w:pPr>
      <w:r>
        <w:rPr>
          <w:rFonts w:ascii="Arial" w:hAnsi="Arial"/>
          <w:sz w:val="20"/>
        </w:rPr>
        <w:t>The remuneration of the Board of Directors and Supervisory Board for Plan 2024 are as follows:</w:t>
      </w:r>
    </w:p>
    <w:p w:rsidR="009A21B8" w:rsidRPr="0091616E" w:rsidRDefault="0091616E" w:rsidP="00B4268F">
      <w:pPr>
        <w:numPr>
          <w:ilvl w:val="0"/>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Members of the Board of Directors:</w:t>
      </w:r>
      <w:r>
        <w:rPr>
          <w:rFonts w:ascii="Arial" w:hAnsi="Arial"/>
          <w:sz w:val="20"/>
        </w:rPr>
        <w:tab/>
      </w:r>
      <w:r>
        <w:rPr>
          <w:rFonts w:ascii="Arial" w:hAnsi="Arial"/>
          <w:sz w:val="20"/>
        </w:rPr>
        <w:tab/>
      </w:r>
      <w:r>
        <w:rPr>
          <w:rFonts w:ascii="Arial" w:hAnsi="Arial"/>
          <w:sz w:val="20"/>
        </w:rPr>
        <w:tab/>
      </w:r>
      <w:r>
        <w:rPr>
          <w:rFonts w:ascii="Arial" w:hAnsi="Arial"/>
          <w:sz w:val="20"/>
        </w:rPr>
        <w:tab/>
        <w:t>VND 5,980,000/month;</w:t>
      </w:r>
    </w:p>
    <w:p w:rsidR="009A21B8" w:rsidRPr="0091616E" w:rsidRDefault="0091616E" w:rsidP="00B4268F">
      <w:pPr>
        <w:numPr>
          <w:ilvl w:val="0"/>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Chief of the Supervisory Board: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VND 6,240,000/month;</w:t>
      </w:r>
    </w:p>
    <w:p w:rsidR="009A21B8" w:rsidRPr="0091616E" w:rsidRDefault="0091616E" w:rsidP="00B4268F">
      <w:pPr>
        <w:numPr>
          <w:ilvl w:val="0"/>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Members of the Supervisory Board:</w:t>
      </w:r>
      <w:r>
        <w:rPr>
          <w:rFonts w:ascii="Arial" w:hAnsi="Arial"/>
          <w:sz w:val="20"/>
        </w:rPr>
        <w:tab/>
      </w:r>
      <w:r>
        <w:rPr>
          <w:rFonts w:ascii="Arial" w:hAnsi="Arial"/>
          <w:sz w:val="20"/>
        </w:rPr>
        <w:tab/>
      </w:r>
      <w:r>
        <w:rPr>
          <w:rFonts w:ascii="Arial" w:hAnsi="Arial"/>
          <w:sz w:val="20"/>
        </w:rPr>
        <w:tab/>
      </w:r>
      <w:r>
        <w:rPr>
          <w:rFonts w:ascii="Arial" w:hAnsi="Arial"/>
          <w:sz w:val="20"/>
        </w:rPr>
        <w:tab/>
        <w:t>VND 5,980,000/month;</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the supplement of business lines and fields.</w:t>
      </w:r>
    </w:p>
    <w:p w:rsidR="009A21B8" w:rsidRPr="0091616E" w:rsidRDefault="0091616E" w:rsidP="00B4268F">
      <w:pPr>
        <w:pStyle w:val="ListParagraph"/>
        <w:numPr>
          <w:ilvl w:val="0"/>
          <w:numId w:val="8"/>
        </w:numPr>
        <w:pBdr>
          <w:top w:val="nil"/>
          <w:left w:val="nil"/>
          <w:bottom w:val="nil"/>
          <w:right w:val="nil"/>
          <w:between w:val="nil"/>
        </w:pBdr>
        <w:spacing w:after="120" w:line="360" w:lineRule="auto"/>
        <w:ind w:left="0" w:firstLine="0"/>
        <w:contextualSpacing w:val="0"/>
        <w:jc w:val="both"/>
        <w:rPr>
          <w:rFonts w:ascii="Arial" w:eastAsia="Arial" w:hAnsi="Arial" w:cs="Arial"/>
          <w:sz w:val="20"/>
          <w:szCs w:val="20"/>
        </w:rPr>
      </w:pPr>
      <w:r>
        <w:rPr>
          <w:rFonts w:ascii="Arial" w:hAnsi="Arial"/>
          <w:sz w:val="20"/>
        </w:rPr>
        <w:lastRenderedPageBreak/>
        <w:t>Supplement fields of activity within registered professions: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9"/>
        <w:gridCol w:w="2261"/>
        <w:gridCol w:w="5916"/>
      </w:tblGrid>
      <w:tr w:rsidR="009A21B8" w:rsidRPr="0091616E" w:rsidTr="0091616E">
        <w:tc>
          <w:tcPr>
            <w:tcW w:w="46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1254"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Business code</w:t>
            </w:r>
          </w:p>
        </w:tc>
        <w:tc>
          <w:tcPr>
            <w:tcW w:w="3281"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Name</w:t>
            </w:r>
          </w:p>
        </w:tc>
      </w:tr>
      <w:tr w:rsidR="009A21B8" w:rsidRPr="0091616E" w:rsidTr="0091616E">
        <w:tc>
          <w:tcPr>
            <w:tcW w:w="46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1254"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7110</w:t>
            </w:r>
          </w:p>
        </w:tc>
        <w:tc>
          <w:tcPr>
            <w:tcW w:w="3281"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Architectural activities and related technical consultancy:</w:t>
            </w:r>
          </w:p>
        </w:tc>
      </w:tr>
      <w:tr w:rsidR="009A21B8" w:rsidRPr="0091616E" w:rsidTr="0091616E">
        <w:tc>
          <w:tcPr>
            <w:tcW w:w="46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w:t>
            </w:r>
          </w:p>
        </w:tc>
        <w:tc>
          <w:tcPr>
            <w:tcW w:w="1254"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7120</w:t>
            </w:r>
          </w:p>
        </w:tc>
        <w:tc>
          <w:tcPr>
            <w:tcW w:w="3281"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Technical inspection and analysis;</w:t>
            </w:r>
          </w:p>
        </w:tc>
      </w:tr>
    </w:tbl>
    <w:p w:rsidR="009A21B8" w:rsidRPr="0091616E" w:rsidRDefault="0091616E" w:rsidP="00B4268F">
      <w:pPr>
        <w:pStyle w:val="ListParagraph"/>
        <w:numPr>
          <w:ilvl w:val="0"/>
          <w:numId w:val="8"/>
        </w:numPr>
        <w:pBdr>
          <w:top w:val="nil"/>
          <w:left w:val="nil"/>
          <w:bottom w:val="nil"/>
          <w:right w:val="nil"/>
          <w:between w:val="nil"/>
        </w:pBdr>
        <w:spacing w:after="120" w:line="360" w:lineRule="auto"/>
        <w:ind w:left="0" w:firstLine="0"/>
        <w:contextualSpacing w:val="0"/>
        <w:jc w:val="both"/>
        <w:rPr>
          <w:rFonts w:ascii="Arial" w:eastAsia="Arial" w:hAnsi="Arial" w:cs="Arial"/>
          <w:sz w:val="20"/>
          <w:szCs w:val="20"/>
        </w:rPr>
      </w:pPr>
      <w:r>
        <w:rPr>
          <w:rFonts w:ascii="Arial" w:hAnsi="Arial"/>
          <w:sz w:val="20"/>
        </w:rPr>
        <w:t>Supplement professions: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5"/>
        <w:gridCol w:w="2133"/>
        <w:gridCol w:w="5978"/>
      </w:tblGrid>
      <w:tr w:rsidR="009A21B8" w:rsidRPr="0091616E" w:rsidTr="0091616E">
        <w:tc>
          <w:tcPr>
            <w:tcW w:w="502"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1183"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Business code</w:t>
            </w:r>
          </w:p>
        </w:tc>
        <w:tc>
          <w:tcPr>
            <w:tcW w:w="331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Name</w:t>
            </w:r>
          </w:p>
        </w:tc>
      </w:tr>
      <w:tr w:rsidR="009A21B8" w:rsidRPr="0091616E" w:rsidTr="0091616E">
        <w:tc>
          <w:tcPr>
            <w:tcW w:w="502"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1183"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0240</w:t>
            </w:r>
          </w:p>
        </w:tc>
        <w:tc>
          <w:tcPr>
            <w:tcW w:w="331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Forestry service activities</w:t>
            </w:r>
          </w:p>
        </w:tc>
      </w:tr>
      <w:tr w:rsidR="009A21B8" w:rsidRPr="0091616E" w:rsidTr="0091616E">
        <w:tc>
          <w:tcPr>
            <w:tcW w:w="502"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w:t>
            </w:r>
          </w:p>
        </w:tc>
        <w:tc>
          <w:tcPr>
            <w:tcW w:w="1183"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6311</w:t>
            </w:r>
          </w:p>
        </w:tc>
        <w:tc>
          <w:tcPr>
            <w:tcW w:w="331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Data processing, leasing and related activities</w:t>
            </w:r>
          </w:p>
        </w:tc>
      </w:tr>
      <w:tr w:rsidR="009A21B8" w:rsidRPr="0091616E" w:rsidTr="0091616E">
        <w:tc>
          <w:tcPr>
            <w:tcW w:w="502"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1183"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8559</w:t>
            </w:r>
          </w:p>
        </w:tc>
        <w:tc>
          <w:tcPr>
            <w:tcW w:w="331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Other not-yet-classified educational services:</w:t>
            </w:r>
          </w:p>
        </w:tc>
      </w:tr>
      <w:tr w:rsidR="009A21B8" w:rsidRPr="0091616E" w:rsidTr="0091616E">
        <w:tc>
          <w:tcPr>
            <w:tcW w:w="502"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w:t>
            </w:r>
          </w:p>
        </w:tc>
        <w:tc>
          <w:tcPr>
            <w:tcW w:w="1183"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6209</w:t>
            </w:r>
          </w:p>
        </w:tc>
        <w:tc>
          <w:tcPr>
            <w:tcW w:w="3315" w:type="pct"/>
            <w:shd w:val="clear" w:color="auto" w:fill="auto"/>
            <w:tcMar>
              <w:top w:w="0" w:type="dxa"/>
              <w:bottom w:w="0" w:type="dxa"/>
            </w:tcMar>
            <w:vAlign w:val="center"/>
          </w:tcPr>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Information technology service activities and other services related to computers</w:t>
            </w:r>
          </w:p>
        </w:tc>
      </w:tr>
    </w:tbl>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10. Approve the amendments and supplements to the Charter of Power Engineering Consulting JSC 4, including 21 chapters and 59 articles.</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11. Approve on authorizing the Company's Board of Directors to decide on the selection of an experienced and capable Financial Statement 2024 audit unit based on the proposal of the Supervisory Board according to the list of auditing companies approved to audit for the public interest units in the securities sector in 2024 issued by the State Securities Commission.</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12. Approve and authorize the Board of Directors of Power Engineering Consulting JSC 4 to decide on the Company's approval to sign contracts, loan transactions, and sell assets in 2024 with a value greater than 10% of total value of assets recorded on the Financial Statements 2023 or transactions leading to the total value of transactions arising in 2024 with a value of 35% or more of the total value of assets recorded on the Financial Statements 2023 with Vietnam Electricity Corporation (EVN) and  Vietnam Electricity Corporation’s member units (major shareholders owning over 51% of the Company's charter capital) according to regulations. The authorization content in this </w:t>
      </w:r>
      <w:r w:rsidR="00B4268F">
        <w:rPr>
          <w:rFonts w:ascii="Arial" w:hAnsi="Arial"/>
          <w:sz w:val="20"/>
        </w:rPr>
        <w:t>section</w:t>
      </w:r>
      <w:r>
        <w:rPr>
          <w:rFonts w:ascii="Arial" w:hAnsi="Arial"/>
          <w:sz w:val="20"/>
        </w:rPr>
        <w:t xml:space="preserve"> takes effect until the end of 2024.</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13. Terms of enforcement</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takes effect on the date of its signing.</w:t>
      </w:r>
    </w:p>
    <w:p w:rsidR="009A21B8" w:rsidRPr="0091616E" w:rsidRDefault="0091616E" w:rsidP="00B4268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assi</w:t>
      </w:r>
      <w:r w:rsidR="00B4268F">
        <w:rPr>
          <w:rFonts w:ascii="Arial" w:hAnsi="Arial"/>
          <w:sz w:val="20"/>
        </w:rPr>
        <w:t>gns the Board of Directors, Supervisory Board</w:t>
      </w:r>
      <w:r>
        <w:rPr>
          <w:rFonts w:ascii="Arial" w:hAnsi="Arial"/>
          <w:sz w:val="20"/>
        </w:rPr>
        <w:t xml:space="preserve"> and </w:t>
      </w:r>
      <w:r w:rsidR="00B4268F">
        <w:rPr>
          <w:rFonts w:ascii="Arial" w:hAnsi="Arial"/>
          <w:sz w:val="20"/>
        </w:rPr>
        <w:t>Executive Board</w:t>
      </w:r>
      <w:bookmarkStart w:id="0" w:name="_GoBack"/>
      <w:bookmarkEnd w:id="0"/>
      <w:r>
        <w:rPr>
          <w:rFonts w:ascii="Arial" w:hAnsi="Arial"/>
          <w:sz w:val="20"/>
        </w:rPr>
        <w:t xml:space="preserve"> to be responsible for the implementation of this General Mandate</w:t>
      </w:r>
    </w:p>
    <w:sectPr w:rsidR="009A21B8" w:rsidRPr="0091616E" w:rsidSect="0091616E">
      <w:pgSz w:w="11906" w:h="16838"/>
      <w:pgMar w:top="1440" w:right="1440" w:bottom="1440" w:left="1440" w:header="0" w:footer="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1CAC"/>
    <w:multiLevelType w:val="multilevel"/>
    <w:tmpl w:val="32D0CD3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9B2597"/>
    <w:multiLevelType w:val="multilevel"/>
    <w:tmpl w:val="62EEAEB8"/>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70100EE"/>
    <w:multiLevelType w:val="multilevel"/>
    <w:tmpl w:val="E36A0BF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9706D"/>
    <w:multiLevelType w:val="multilevel"/>
    <w:tmpl w:val="EEBE798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6621B1"/>
    <w:multiLevelType w:val="multilevel"/>
    <w:tmpl w:val="F7286E7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B4719C"/>
    <w:multiLevelType w:val="multilevel"/>
    <w:tmpl w:val="F3B4F28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4F5543"/>
    <w:multiLevelType w:val="multilevel"/>
    <w:tmpl w:val="10ACF27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0359DF"/>
    <w:multiLevelType w:val="hybridMultilevel"/>
    <w:tmpl w:val="1BCEF8C8"/>
    <w:lvl w:ilvl="0" w:tplc="93360964">
      <w:start w:val="1"/>
      <w:numFmt w:val="decimal"/>
      <w:lvlText w:val="9.%1."/>
      <w:lvlJc w:val="left"/>
      <w:pPr>
        <w:ind w:left="720" w:hanging="360"/>
      </w:pPr>
      <w:rPr>
        <w:rFonts w:hint="default"/>
        <w:b w:val="0"/>
        <w:i w:val="0"/>
        <w:sz w:val="20"/>
      </w:rPr>
    </w:lvl>
    <w:lvl w:ilvl="1" w:tplc="A62A2A46" w:tentative="1">
      <w:start w:val="1"/>
      <w:numFmt w:val="lowerLetter"/>
      <w:lvlText w:val="%2."/>
      <w:lvlJc w:val="left"/>
      <w:pPr>
        <w:ind w:left="1440" w:hanging="360"/>
      </w:pPr>
      <w:rPr>
        <w:b w:val="0"/>
        <w:i w:val="0"/>
        <w:sz w:val="20"/>
      </w:rPr>
    </w:lvl>
    <w:lvl w:ilvl="2" w:tplc="C11E176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B8"/>
    <w:rsid w:val="0091616E"/>
    <w:rsid w:val="009A21B8"/>
    <w:rsid w:val="00B4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AF44"/>
  <w15:docId w15:val="{44FEA470-ED9E-4245-A125-F00D216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C44254"/>
      <w:sz w:val="36"/>
      <w:szCs w:val="36"/>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Khc0">
    <w:name w:val="Khác"/>
    <w:basedOn w:val="Normal"/>
    <w:link w:val="Khc"/>
    <w:pPr>
      <w:spacing w:line="312" w:lineRule="auto"/>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16" w:lineRule="auto"/>
    </w:pPr>
    <w:rPr>
      <w:rFonts w:ascii="Times New Roman" w:eastAsia="Times New Roman" w:hAnsi="Times New Roman" w:cs="Times New Roman"/>
      <w:sz w:val="20"/>
      <w:szCs w:val="20"/>
    </w:rPr>
  </w:style>
  <w:style w:type="paragraph" w:customStyle="1" w:styleId="Tiu10">
    <w:name w:val="Tiêu đề #1"/>
    <w:basedOn w:val="Normal"/>
    <w:link w:val="Tiu1"/>
    <w:pPr>
      <w:ind w:left="5160"/>
      <w:outlineLvl w:val="0"/>
    </w:pPr>
    <w:rPr>
      <w:rFonts w:ascii="Times New Roman" w:eastAsia="Times New Roman" w:hAnsi="Times New Roman" w:cs="Times New Roman"/>
      <w:smallCaps/>
      <w:color w:val="C44254"/>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1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6pmicjXUMnCTisD59mxHQHvvw==">CgMxLjA4AHIhMUtFS2YxSGhKalNza0NJS2NJYzRnNGdFcS1HQm5zUmx5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2024-05-07T03:23:00Z</dcterms:created>
  <dcterms:modified xsi:type="dcterms:W3CDTF">2024-05-07T03:23:00Z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daa80a9cc591e58804fd1021eba5f94d59fa80841bf430013c19c04a48b5b486</vt:lpwstr>
  </property>
</Properties>
</file>