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D0410" w14:textId="77777777" w:rsidR="001E1724" w:rsidRPr="008F5782" w:rsidRDefault="00B646A4" w:rsidP="00BB3A7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F5782">
        <w:rPr>
          <w:rFonts w:ascii="Arial" w:hAnsi="Arial" w:cs="Arial"/>
          <w:b/>
          <w:color w:val="010000"/>
          <w:sz w:val="20"/>
        </w:rPr>
        <w:t>TVN: Annual General Mandate 2024</w:t>
      </w:r>
    </w:p>
    <w:p w14:paraId="0A11B767" w14:textId="77777777" w:rsidR="001E1724" w:rsidRPr="008F5782" w:rsidRDefault="00B646A4"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5782">
        <w:rPr>
          <w:rFonts w:ascii="Arial" w:hAnsi="Arial" w:cs="Arial"/>
          <w:color w:val="010000"/>
          <w:sz w:val="20"/>
        </w:rPr>
        <w:t>On April 26, 2024, Viet Nam Steel Corporation announced General Mandate No. 46/NQ-VNS as follows:</w:t>
      </w:r>
    </w:p>
    <w:p w14:paraId="64B598DF" w14:textId="77777777" w:rsidR="001E1724" w:rsidRPr="008F5782" w:rsidRDefault="00B646A4"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8F5782">
        <w:rPr>
          <w:rFonts w:ascii="Arial" w:hAnsi="Arial" w:cs="Arial"/>
          <w:color w:val="010000"/>
          <w:sz w:val="20"/>
        </w:rPr>
        <w:t>Article 1.</w:t>
      </w:r>
      <w:proofErr w:type="gramEnd"/>
      <w:r w:rsidRPr="008F5782">
        <w:rPr>
          <w:rFonts w:ascii="Arial" w:hAnsi="Arial" w:cs="Arial"/>
          <w:color w:val="010000"/>
          <w:sz w:val="20"/>
        </w:rPr>
        <w:t xml:space="preserve"> Approve the Report of the Board of Directors of Viet Nam Steel Corporation at the Annual General Meeting of Shareholders 2024.</w:t>
      </w:r>
    </w:p>
    <w:p w14:paraId="25B69488" w14:textId="77777777" w:rsidR="001E1724" w:rsidRPr="008F5782" w:rsidRDefault="00B646A4"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5782">
        <w:rPr>
          <w:rFonts w:ascii="Arial" w:hAnsi="Arial" w:cs="Arial"/>
          <w:color w:val="010000"/>
          <w:sz w:val="20"/>
        </w:rPr>
        <w:t>Some main targets to be implemented in 2023 are as follows:</w:t>
      </w:r>
    </w:p>
    <w:p w14:paraId="686CDFFF" w14:textId="77777777" w:rsidR="001E1724" w:rsidRPr="008F5782" w:rsidRDefault="00B646A4" w:rsidP="00BB3A7B">
      <w:pPr>
        <w:numPr>
          <w:ilvl w:val="0"/>
          <w:numId w:val="8"/>
        </w:numPr>
        <w:pBdr>
          <w:top w:val="nil"/>
          <w:left w:val="nil"/>
          <w:bottom w:val="nil"/>
          <w:right w:val="nil"/>
          <w:between w:val="nil"/>
        </w:pBdr>
        <w:tabs>
          <w:tab w:val="left" w:pos="432"/>
          <w:tab w:val="left" w:pos="812"/>
        </w:tabs>
        <w:spacing w:after="120" w:line="360" w:lineRule="auto"/>
        <w:jc w:val="both"/>
        <w:rPr>
          <w:rFonts w:ascii="Arial" w:eastAsia="Arial" w:hAnsi="Arial" w:cs="Arial"/>
          <w:color w:val="010000"/>
          <w:sz w:val="20"/>
          <w:szCs w:val="20"/>
        </w:rPr>
      </w:pPr>
      <w:r w:rsidRPr="008F5782">
        <w:rPr>
          <w:rFonts w:ascii="Arial" w:hAnsi="Arial" w:cs="Arial"/>
          <w:color w:val="010000"/>
          <w:sz w:val="20"/>
        </w:rPr>
        <w:t>Targets on the separate Financial Statements:</w:t>
      </w:r>
    </w:p>
    <w:p w14:paraId="33DA3B7D" w14:textId="77777777" w:rsidR="001E1724" w:rsidRPr="008F5782" w:rsidRDefault="00B646A4" w:rsidP="00BB3A7B">
      <w:pPr>
        <w:numPr>
          <w:ilvl w:val="0"/>
          <w:numId w:val="4"/>
        </w:numPr>
        <w:pBdr>
          <w:top w:val="nil"/>
          <w:left w:val="nil"/>
          <w:bottom w:val="nil"/>
          <w:right w:val="nil"/>
          <w:between w:val="nil"/>
        </w:pBdr>
        <w:tabs>
          <w:tab w:val="left" w:pos="432"/>
          <w:tab w:val="left" w:pos="5003"/>
        </w:tabs>
        <w:spacing w:after="120" w:line="360" w:lineRule="auto"/>
        <w:ind w:left="0" w:firstLine="0"/>
        <w:jc w:val="both"/>
        <w:rPr>
          <w:rFonts w:ascii="Arial" w:eastAsia="Arial" w:hAnsi="Arial" w:cs="Arial"/>
          <w:color w:val="010000"/>
          <w:sz w:val="20"/>
          <w:szCs w:val="20"/>
        </w:rPr>
      </w:pPr>
      <w:r w:rsidRPr="008F5782">
        <w:rPr>
          <w:rFonts w:ascii="Arial" w:hAnsi="Arial" w:cs="Arial"/>
          <w:color w:val="010000"/>
          <w:sz w:val="20"/>
        </w:rPr>
        <w:t>Total revenue of the Holding Company: VND 1,325.18 billion.</w:t>
      </w:r>
    </w:p>
    <w:p w14:paraId="5628FBEE" w14:textId="77777777" w:rsidR="001E1724" w:rsidRPr="008F5782" w:rsidRDefault="00B646A4" w:rsidP="00BB3A7B">
      <w:pPr>
        <w:numPr>
          <w:ilvl w:val="0"/>
          <w:numId w:val="4"/>
        </w:numPr>
        <w:pBdr>
          <w:top w:val="nil"/>
          <w:left w:val="nil"/>
          <w:bottom w:val="nil"/>
          <w:right w:val="nil"/>
          <w:between w:val="nil"/>
        </w:pBdr>
        <w:tabs>
          <w:tab w:val="left" w:pos="432"/>
          <w:tab w:val="left" w:pos="5003"/>
        </w:tabs>
        <w:spacing w:after="120" w:line="360" w:lineRule="auto"/>
        <w:ind w:left="0" w:firstLine="0"/>
        <w:jc w:val="both"/>
        <w:rPr>
          <w:rFonts w:ascii="Arial" w:eastAsia="Arial" w:hAnsi="Arial" w:cs="Arial"/>
          <w:color w:val="010000"/>
          <w:sz w:val="20"/>
          <w:szCs w:val="20"/>
        </w:rPr>
      </w:pPr>
      <w:r w:rsidRPr="008F5782">
        <w:rPr>
          <w:rFonts w:ascii="Arial" w:hAnsi="Arial" w:cs="Arial"/>
          <w:color w:val="010000"/>
          <w:sz w:val="20"/>
        </w:rPr>
        <w:t>Profit before tax of the Holding Company: VND 13.38 billion</w:t>
      </w:r>
    </w:p>
    <w:p w14:paraId="7D55CB46" w14:textId="77777777" w:rsidR="001E1724" w:rsidRPr="008F5782" w:rsidRDefault="00B646A4" w:rsidP="00BB3A7B">
      <w:pPr>
        <w:numPr>
          <w:ilvl w:val="0"/>
          <w:numId w:val="8"/>
        </w:numPr>
        <w:pBdr>
          <w:top w:val="nil"/>
          <w:left w:val="nil"/>
          <w:bottom w:val="nil"/>
          <w:right w:val="nil"/>
          <w:between w:val="nil"/>
        </w:pBdr>
        <w:tabs>
          <w:tab w:val="left" w:pos="432"/>
          <w:tab w:val="left" w:pos="812"/>
        </w:tabs>
        <w:spacing w:after="120" w:line="360" w:lineRule="auto"/>
        <w:jc w:val="both"/>
        <w:rPr>
          <w:rFonts w:ascii="Arial" w:eastAsia="Arial" w:hAnsi="Arial" w:cs="Arial"/>
          <w:color w:val="010000"/>
          <w:sz w:val="20"/>
          <w:szCs w:val="20"/>
        </w:rPr>
      </w:pPr>
      <w:r w:rsidRPr="008F5782">
        <w:rPr>
          <w:rFonts w:ascii="Arial" w:hAnsi="Arial" w:cs="Arial"/>
          <w:color w:val="010000"/>
          <w:sz w:val="20"/>
        </w:rPr>
        <w:t>Targets on the Consolidated Financial Statements:</w:t>
      </w:r>
    </w:p>
    <w:p w14:paraId="5F643942" w14:textId="77777777" w:rsidR="001E1724" w:rsidRPr="008F5782" w:rsidRDefault="00B646A4" w:rsidP="00BB3A7B">
      <w:pPr>
        <w:numPr>
          <w:ilvl w:val="0"/>
          <w:numId w:val="6"/>
        </w:numPr>
        <w:pBdr>
          <w:top w:val="nil"/>
          <w:left w:val="nil"/>
          <w:bottom w:val="nil"/>
          <w:right w:val="nil"/>
          <w:between w:val="nil"/>
        </w:pBdr>
        <w:tabs>
          <w:tab w:val="left" w:pos="432"/>
          <w:tab w:val="left" w:pos="5003"/>
        </w:tabs>
        <w:spacing w:after="120" w:line="360" w:lineRule="auto"/>
        <w:ind w:left="0" w:firstLine="0"/>
        <w:jc w:val="both"/>
        <w:rPr>
          <w:rFonts w:ascii="Arial" w:eastAsia="Arial" w:hAnsi="Arial" w:cs="Arial"/>
          <w:color w:val="010000"/>
          <w:sz w:val="20"/>
          <w:szCs w:val="20"/>
        </w:rPr>
      </w:pPr>
      <w:r w:rsidRPr="008F5782">
        <w:rPr>
          <w:rFonts w:ascii="Arial" w:hAnsi="Arial" w:cs="Arial"/>
          <w:color w:val="010000"/>
          <w:sz w:val="20"/>
        </w:rPr>
        <w:t>Total consolidated revenue: VND 30,401 billion.</w:t>
      </w:r>
    </w:p>
    <w:p w14:paraId="22F58A7F" w14:textId="77777777" w:rsidR="001E1724" w:rsidRPr="008F5782" w:rsidRDefault="00B646A4" w:rsidP="00BB3A7B">
      <w:pPr>
        <w:numPr>
          <w:ilvl w:val="0"/>
          <w:numId w:val="6"/>
        </w:numPr>
        <w:pBdr>
          <w:top w:val="nil"/>
          <w:left w:val="nil"/>
          <w:bottom w:val="nil"/>
          <w:right w:val="nil"/>
          <w:between w:val="nil"/>
        </w:pBdr>
        <w:tabs>
          <w:tab w:val="left" w:pos="432"/>
          <w:tab w:val="left" w:pos="5003"/>
        </w:tabs>
        <w:spacing w:after="120" w:line="360" w:lineRule="auto"/>
        <w:ind w:left="0" w:firstLine="0"/>
        <w:jc w:val="both"/>
        <w:rPr>
          <w:rFonts w:ascii="Arial" w:eastAsia="Arial" w:hAnsi="Arial" w:cs="Arial"/>
          <w:color w:val="010000"/>
          <w:sz w:val="20"/>
          <w:szCs w:val="20"/>
        </w:rPr>
      </w:pPr>
      <w:r w:rsidRPr="008F5782">
        <w:rPr>
          <w:rFonts w:ascii="Arial" w:hAnsi="Arial" w:cs="Arial"/>
          <w:color w:val="010000"/>
          <w:sz w:val="20"/>
        </w:rPr>
        <w:t>Consolidated profit before tax: Loss of VND 288.28 billion.</w:t>
      </w:r>
    </w:p>
    <w:p w14:paraId="40CEE4BB" w14:textId="77777777" w:rsidR="001E1724" w:rsidRPr="008F5782" w:rsidRDefault="00B646A4"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8F5782">
        <w:rPr>
          <w:rFonts w:ascii="Arial" w:hAnsi="Arial" w:cs="Arial"/>
          <w:color w:val="010000"/>
          <w:sz w:val="20"/>
        </w:rPr>
        <w:t>Article 2.</w:t>
      </w:r>
      <w:proofErr w:type="gramEnd"/>
      <w:r w:rsidRPr="008F5782">
        <w:rPr>
          <w:rFonts w:ascii="Arial" w:hAnsi="Arial" w:cs="Arial"/>
          <w:color w:val="010000"/>
          <w:sz w:val="20"/>
        </w:rPr>
        <w:t xml:space="preserve"> Approve the Report of the Supervisory Board of Viet Nam Steel Corporation at the Annual General Meeting of Shareholders 2024.</w:t>
      </w:r>
    </w:p>
    <w:p w14:paraId="5C29B56B" w14:textId="77777777" w:rsidR="001E1724" w:rsidRPr="008F5782" w:rsidRDefault="00B646A4"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8F5782">
        <w:rPr>
          <w:rFonts w:ascii="Arial" w:hAnsi="Arial" w:cs="Arial"/>
          <w:color w:val="010000"/>
          <w:sz w:val="20"/>
        </w:rPr>
        <w:t>Article 3.</w:t>
      </w:r>
      <w:proofErr w:type="gramEnd"/>
      <w:r w:rsidRPr="008F5782">
        <w:rPr>
          <w:rFonts w:ascii="Arial" w:hAnsi="Arial" w:cs="Arial"/>
          <w:color w:val="010000"/>
          <w:sz w:val="20"/>
        </w:rPr>
        <w:t xml:space="preserve"> Approve the Audited Financial Statements for the fiscal year 2023 of Viet Nam Steel Corporation and profit distribution plan and appropriation for funds.</w:t>
      </w:r>
    </w:p>
    <w:p w14:paraId="4721C1C2" w14:textId="77777777" w:rsidR="001E1724" w:rsidRPr="008F5782" w:rsidRDefault="00B646A4" w:rsidP="00BB3A7B">
      <w:pPr>
        <w:numPr>
          <w:ilvl w:val="1"/>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F5782">
        <w:rPr>
          <w:rFonts w:ascii="Arial" w:hAnsi="Arial" w:cs="Arial"/>
          <w:color w:val="010000"/>
          <w:sz w:val="20"/>
        </w:rPr>
        <w:t>Regarding appropriation for bonus and welfare funds:</w:t>
      </w:r>
    </w:p>
    <w:p w14:paraId="7512FAED" w14:textId="77777777" w:rsidR="001E1724" w:rsidRPr="008F5782" w:rsidRDefault="00B646A4" w:rsidP="00BB3A7B">
      <w:pPr>
        <w:numPr>
          <w:ilvl w:val="0"/>
          <w:numId w:val="7"/>
        </w:numPr>
        <w:pBdr>
          <w:top w:val="nil"/>
          <w:left w:val="nil"/>
          <w:bottom w:val="nil"/>
          <w:right w:val="nil"/>
          <w:between w:val="nil"/>
        </w:pBdr>
        <w:tabs>
          <w:tab w:val="left" w:pos="432"/>
          <w:tab w:val="left" w:pos="1378"/>
        </w:tabs>
        <w:spacing w:after="120" w:line="360" w:lineRule="auto"/>
        <w:jc w:val="both"/>
        <w:rPr>
          <w:rFonts w:ascii="Arial" w:eastAsia="Arial" w:hAnsi="Arial" w:cs="Arial"/>
          <w:color w:val="010000"/>
          <w:sz w:val="20"/>
          <w:szCs w:val="20"/>
        </w:rPr>
      </w:pPr>
      <w:r w:rsidRPr="008F5782">
        <w:rPr>
          <w:rFonts w:ascii="Arial" w:hAnsi="Arial" w:cs="Arial"/>
          <w:color w:val="010000"/>
          <w:sz w:val="20"/>
        </w:rPr>
        <w:t>Bonus and welfare fund for employees: VND 4,440 million.</w:t>
      </w:r>
    </w:p>
    <w:p w14:paraId="743152ED" w14:textId="77777777" w:rsidR="001E1724" w:rsidRPr="008F5782" w:rsidRDefault="00B646A4"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5782">
        <w:rPr>
          <w:rFonts w:ascii="Arial" w:hAnsi="Arial" w:cs="Arial"/>
          <w:color w:val="010000"/>
          <w:sz w:val="20"/>
        </w:rPr>
        <w:t xml:space="preserve">(The above proposed appropriation level is equivalent to 02 months of the average salary of employees in 2023, and is lower than the maximum appropriation </w:t>
      </w:r>
      <w:proofErr w:type="spellStart"/>
      <w:r w:rsidRPr="008F5782">
        <w:rPr>
          <w:rFonts w:ascii="Arial" w:hAnsi="Arial" w:cs="Arial"/>
          <w:color w:val="010000"/>
          <w:sz w:val="20"/>
        </w:rPr>
        <w:t>eduction</w:t>
      </w:r>
      <w:proofErr w:type="spellEnd"/>
      <w:r w:rsidRPr="008F5782">
        <w:rPr>
          <w:rFonts w:ascii="Arial" w:hAnsi="Arial" w:cs="Arial"/>
          <w:color w:val="010000"/>
          <w:sz w:val="20"/>
        </w:rPr>
        <w:t xml:space="preserve"> level as prescribed in Section 1, Article 18 of Circular No. 28)</w:t>
      </w:r>
    </w:p>
    <w:p w14:paraId="23473F9E" w14:textId="77777777" w:rsidR="001E1724" w:rsidRPr="008F5782" w:rsidRDefault="00B646A4" w:rsidP="00BB3A7B">
      <w:pPr>
        <w:numPr>
          <w:ilvl w:val="0"/>
          <w:numId w:val="7"/>
        </w:numPr>
        <w:pBdr>
          <w:top w:val="nil"/>
          <w:left w:val="nil"/>
          <w:bottom w:val="nil"/>
          <w:right w:val="nil"/>
          <w:between w:val="nil"/>
        </w:pBdr>
        <w:tabs>
          <w:tab w:val="left" w:pos="432"/>
          <w:tab w:val="left" w:pos="1332"/>
        </w:tabs>
        <w:spacing w:after="120" w:line="360" w:lineRule="auto"/>
        <w:jc w:val="both"/>
        <w:rPr>
          <w:rFonts w:ascii="Arial" w:eastAsia="Arial" w:hAnsi="Arial" w:cs="Arial"/>
          <w:color w:val="010000"/>
          <w:sz w:val="20"/>
          <w:szCs w:val="20"/>
        </w:rPr>
      </w:pPr>
      <w:r w:rsidRPr="008F5782">
        <w:rPr>
          <w:rFonts w:ascii="Arial" w:hAnsi="Arial" w:cs="Arial"/>
          <w:color w:val="010000"/>
          <w:sz w:val="20"/>
        </w:rPr>
        <w:t>Bonus fund of the Corporation's manager: VND 450 million.</w:t>
      </w:r>
    </w:p>
    <w:p w14:paraId="7F604B10" w14:textId="286A0D8A" w:rsidR="001E1724" w:rsidRPr="008F5782" w:rsidRDefault="00B646A4" w:rsidP="00BB3A7B">
      <w:pPr>
        <w:pBdr>
          <w:top w:val="nil"/>
          <w:left w:val="nil"/>
          <w:bottom w:val="nil"/>
          <w:right w:val="nil"/>
          <w:between w:val="nil"/>
        </w:pBdr>
        <w:tabs>
          <w:tab w:val="left" w:pos="432"/>
          <w:tab w:val="left" w:pos="1332"/>
        </w:tabs>
        <w:spacing w:after="120" w:line="360" w:lineRule="auto"/>
        <w:jc w:val="both"/>
        <w:rPr>
          <w:rFonts w:ascii="Arial" w:hAnsi="Arial" w:cs="Arial"/>
          <w:color w:val="010000"/>
          <w:sz w:val="20"/>
        </w:rPr>
      </w:pPr>
      <w:r w:rsidRPr="008F5782">
        <w:rPr>
          <w:rFonts w:ascii="Arial" w:hAnsi="Arial" w:cs="Arial"/>
          <w:color w:val="010000"/>
          <w:sz w:val="20"/>
        </w:rPr>
        <w:t>(The above proposed appropriation for funds is equivalent to 1.5 months' average salary of an executive manager in 2023 according to the regulations specified in Section 2, Article 18 of Circular No. 28).</w:t>
      </w:r>
    </w:p>
    <w:p w14:paraId="6D38416B" w14:textId="77777777" w:rsidR="00B646A4" w:rsidRPr="008F5782" w:rsidRDefault="00B646A4" w:rsidP="00BB3A7B">
      <w:pPr>
        <w:numPr>
          <w:ilvl w:val="0"/>
          <w:numId w:val="7"/>
        </w:numPr>
        <w:pBdr>
          <w:top w:val="nil"/>
          <w:left w:val="nil"/>
          <w:bottom w:val="nil"/>
          <w:right w:val="nil"/>
          <w:between w:val="nil"/>
        </w:pBdr>
        <w:tabs>
          <w:tab w:val="left" w:pos="432"/>
          <w:tab w:val="left" w:pos="1332"/>
        </w:tabs>
        <w:spacing w:after="120" w:line="360" w:lineRule="auto"/>
        <w:jc w:val="both"/>
        <w:rPr>
          <w:rFonts w:ascii="Arial" w:hAnsi="Arial" w:cs="Arial"/>
          <w:color w:val="010000"/>
          <w:sz w:val="20"/>
        </w:rPr>
      </w:pPr>
      <w:r w:rsidRPr="008F5782">
        <w:rPr>
          <w:rFonts w:ascii="Arial" w:hAnsi="Arial" w:cs="Arial"/>
          <w:color w:val="010000"/>
          <w:sz w:val="20"/>
        </w:rPr>
        <w:t>Pursuant to the investment and development plan and the plan on procurement and upgrading of fixed assets in 2024.</w:t>
      </w:r>
    </w:p>
    <w:p w14:paraId="2232930B" w14:textId="77777777" w:rsidR="00B646A4" w:rsidRPr="008F5782" w:rsidRDefault="00B646A4" w:rsidP="00BB3A7B">
      <w:pPr>
        <w:pStyle w:val="Vnbnnidung0"/>
        <w:tabs>
          <w:tab w:val="left" w:pos="432"/>
        </w:tabs>
        <w:spacing w:after="120" w:line="360" w:lineRule="auto"/>
        <w:ind w:firstLine="0"/>
        <w:jc w:val="both"/>
        <w:rPr>
          <w:rFonts w:ascii="Arial" w:hAnsi="Arial" w:cs="Arial"/>
          <w:color w:val="010000"/>
          <w:sz w:val="20"/>
        </w:rPr>
      </w:pPr>
      <w:r w:rsidRPr="008F5782">
        <w:rPr>
          <w:rFonts w:ascii="Arial" w:hAnsi="Arial" w:cs="Arial"/>
          <w:color w:val="010000"/>
          <w:sz w:val="20"/>
        </w:rPr>
        <w:t>The Board of Directors proposes an additional appropriation for the investment and development fund of VND 87.54 billion [VND 291.8 billion X 30% = VND 87.54 billion]</w:t>
      </w:r>
    </w:p>
    <w:p w14:paraId="093FD980" w14:textId="77777777" w:rsidR="00B646A4" w:rsidRPr="008F5782" w:rsidRDefault="00B646A4" w:rsidP="00BB3A7B">
      <w:pPr>
        <w:pStyle w:val="Vnbnnidung0"/>
        <w:tabs>
          <w:tab w:val="left" w:pos="432"/>
        </w:tabs>
        <w:spacing w:after="120" w:line="360" w:lineRule="auto"/>
        <w:ind w:firstLine="0"/>
        <w:jc w:val="both"/>
        <w:rPr>
          <w:rFonts w:ascii="Arial" w:hAnsi="Arial" w:cs="Arial"/>
          <w:color w:val="010000"/>
          <w:sz w:val="20"/>
        </w:rPr>
      </w:pPr>
      <w:r w:rsidRPr="008F5782">
        <w:rPr>
          <w:rFonts w:ascii="Arial" w:hAnsi="Arial" w:cs="Arial"/>
          <w:color w:val="010000"/>
          <w:sz w:val="20"/>
        </w:rPr>
        <w:t>From the accumulated profit after tax until December 31, 2023, it is expected to carry out the following items: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070"/>
        <w:gridCol w:w="1449"/>
        <w:gridCol w:w="3528"/>
      </w:tblGrid>
      <w:tr w:rsidR="00B646A4" w:rsidRPr="008F5782" w14:paraId="1D4CFD9A" w14:textId="77777777" w:rsidTr="007D1995">
        <w:tc>
          <w:tcPr>
            <w:tcW w:w="2249" w:type="pct"/>
            <w:shd w:val="clear" w:color="auto" w:fill="auto"/>
            <w:vAlign w:val="center"/>
          </w:tcPr>
          <w:p w14:paraId="7187C86E" w14:textId="77777777" w:rsidR="00B646A4" w:rsidRPr="008F5782" w:rsidRDefault="00B646A4" w:rsidP="007D1995">
            <w:pPr>
              <w:pStyle w:val="Khc0"/>
              <w:tabs>
                <w:tab w:val="left" w:pos="432"/>
              </w:tabs>
              <w:spacing w:after="120" w:line="360" w:lineRule="auto"/>
              <w:ind w:firstLine="0"/>
              <w:jc w:val="center"/>
              <w:rPr>
                <w:rFonts w:ascii="Arial" w:hAnsi="Arial" w:cs="Arial"/>
                <w:color w:val="010000"/>
                <w:sz w:val="20"/>
                <w:szCs w:val="34"/>
              </w:rPr>
            </w:pPr>
            <w:r w:rsidRPr="008F5782">
              <w:rPr>
                <w:rFonts w:ascii="Arial" w:hAnsi="Arial" w:cs="Arial"/>
                <w:color w:val="010000"/>
                <w:sz w:val="20"/>
                <w:szCs w:val="34"/>
              </w:rPr>
              <w:t>Investment item</w:t>
            </w:r>
          </w:p>
        </w:tc>
        <w:tc>
          <w:tcPr>
            <w:tcW w:w="801" w:type="pct"/>
            <w:shd w:val="clear" w:color="auto" w:fill="auto"/>
            <w:vAlign w:val="center"/>
          </w:tcPr>
          <w:p w14:paraId="0121285D" w14:textId="77777777" w:rsidR="00B646A4" w:rsidRPr="008F5782" w:rsidRDefault="00B646A4" w:rsidP="007D1995">
            <w:pPr>
              <w:pStyle w:val="Khc0"/>
              <w:tabs>
                <w:tab w:val="left" w:pos="432"/>
              </w:tabs>
              <w:spacing w:after="120" w:line="360" w:lineRule="auto"/>
              <w:ind w:firstLine="0"/>
              <w:jc w:val="center"/>
              <w:rPr>
                <w:rFonts w:ascii="Arial" w:hAnsi="Arial" w:cs="Arial"/>
                <w:color w:val="010000"/>
                <w:sz w:val="20"/>
                <w:szCs w:val="34"/>
              </w:rPr>
            </w:pPr>
            <w:r w:rsidRPr="008F5782">
              <w:rPr>
                <w:rFonts w:ascii="Arial" w:hAnsi="Arial" w:cs="Arial"/>
                <w:color w:val="010000"/>
                <w:sz w:val="20"/>
                <w:szCs w:val="34"/>
              </w:rPr>
              <w:t>Amount (</w:t>
            </w:r>
            <w:proofErr w:type="spellStart"/>
            <w:r w:rsidRPr="008F5782">
              <w:rPr>
                <w:rFonts w:ascii="Arial" w:hAnsi="Arial" w:cs="Arial"/>
                <w:color w:val="010000"/>
                <w:sz w:val="20"/>
                <w:szCs w:val="34"/>
              </w:rPr>
              <w:t>tbillion</w:t>
            </w:r>
            <w:proofErr w:type="spellEnd"/>
            <w:r w:rsidRPr="008F5782">
              <w:rPr>
                <w:rFonts w:ascii="Arial" w:hAnsi="Arial" w:cs="Arial"/>
                <w:color w:val="010000"/>
                <w:sz w:val="20"/>
                <w:szCs w:val="34"/>
              </w:rPr>
              <w:t xml:space="preserve"> VND)</w:t>
            </w:r>
          </w:p>
        </w:tc>
        <w:tc>
          <w:tcPr>
            <w:tcW w:w="1950" w:type="pct"/>
            <w:shd w:val="clear" w:color="auto" w:fill="auto"/>
            <w:vAlign w:val="center"/>
          </w:tcPr>
          <w:p w14:paraId="701629C2" w14:textId="77777777" w:rsidR="00B646A4" w:rsidRPr="008F5782" w:rsidRDefault="00B646A4" w:rsidP="007D1995">
            <w:pPr>
              <w:pStyle w:val="Khc0"/>
              <w:tabs>
                <w:tab w:val="left" w:pos="432"/>
              </w:tabs>
              <w:spacing w:after="120" w:line="360" w:lineRule="auto"/>
              <w:ind w:firstLine="0"/>
              <w:jc w:val="center"/>
              <w:rPr>
                <w:rFonts w:ascii="Arial" w:hAnsi="Arial" w:cs="Arial"/>
                <w:color w:val="010000"/>
                <w:sz w:val="20"/>
                <w:szCs w:val="34"/>
              </w:rPr>
            </w:pPr>
            <w:r w:rsidRPr="008F5782">
              <w:rPr>
                <w:rFonts w:ascii="Arial" w:hAnsi="Arial" w:cs="Arial"/>
                <w:color w:val="010000"/>
                <w:sz w:val="20"/>
                <w:szCs w:val="34"/>
              </w:rPr>
              <w:t>Approved Resolution</w:t>
            </w:r>
          </w:p>
        </w:tc>
      </w:tr>
      <w:tr w:rsidR="00B646A4" w:rsidRPr="008F5782" w14:paraId="281C3B22" w14:textId="77777777" w:rsidTr="007D1995">
        <w:tc>
          <w:tcPr>
            <w:tcW w:w="2249" w:type="pct"/>
            <w:shd w:val="clear" w:color="auto" w:fill="auto"/>
            <w:vAlign w:val="center"/>
          </w:tcPr>
          <w:p w14:paraId="2DA9C135" w14:textId="77777777" w:rsidR="00B646A4" w:rsidRPr="008F5782" w:rsidRDefault="00B646A4" w:rsidP="007D1995">
            <w:pPr>
              <w:pStyle w:val="Khc0"/>
              <w:tabs>
                <w:tab w:val="left" w:pos="432"/>
              </w:tabs>
              <w:spacing w:after="120" w:line="360" w:lineRule="auto"/>
              <w:ind w:firstLine="0"/>
              <w:rPr>
                <w:rFonts w:ascii="Arial" w:hAnsi="Arial" w:cs="Arial"/>
                <w:color w:val="010000"/>
                <w:sz w:val="20"/>
              </w:rPr>
            </w:pPr>
            <w:r w:rsidRPr="008F5782">
              <w:rPr>
                <w:rFonts w:ascii="Arial" w:hAnsi="Arial" w:cs="Arial"/>
                <w:color w:val="010000"/>
                <w:sz w:val="20"/>
              </w:rPr>
              <w:lastRenderedPageBreak/>
              <w:t xml:space="preserve">1. </w:t>
            </w:r>
            <w:proofErr w:type="spellStart"/>
            <w:r w:rsidRPr="008F5782">
              <w:rPr>
                <w:rFonts w:ascii="Arial" w:hAnsi="Arial" w:cs="Arial"/>
                <w:color w:val="010000"/>
                <w:sz w:val="20"/>
              </w:rPr>
              <w:t>Nha</w:t>
            </w:r>
            <w:proofErr w:type="spellEnd"/>
            <w:r w:rsidRPr="008F5782">
              <w:rPr>
                <w:rFonts w:ascii="Arial" w:hAnsi="Arial" w:cs="Arial"/>
                <w:color w:val="010000"/>
                <w:sz w:val="20"/>
              </w:rPr>
              <w:t xml:space="preserve"> Be Steel</w:t>
            </w:r>
          </w:p>
        </w:tc>
        <w:tc>
          <w:tcPr>
            <w:tcW w:w="801" w:type="pct"/>
            <w:shd w:val="clear" w:color="auto" w:fill="auto"/>
            <w:vAlign w:val="center"/>
          </w:tcPr>
          <w:p w14:paraId="6465D3EF" w14:textId="77777777" w:rsidR="00B646A4" w:rsidRPr="008F5782" w:rsidRDefault="00B646A4" w:rsidP="007D1995">
            <w:pPr>
              <w:pStyle w:val="Khc0"/>
              <w:tabs>
                <w:tab w:val="left" w:pos="432"/>
              </w:tabs>
              <w:spacing w:after="120" w:line="360" w:lineRule="auto"/>
              <w:ind w:firstLine="0"/>
              <w:rPr>
                <w:rFonts w:ascii="Arial" w:hAnsi="Arial" w:cs="Arial"/>
                <w:color w:val="010000"/>
                <w:sz w:val="20"/>
              </w:rPr>
            </w:pPr>
            <w:r w:rsidRPr="008F5782">
              <w:rPr>
                <w:rFonts w:ascii="Arial" w:hAnsi="Arial" w:cs="Arial"/>
                <w:color w:val="010000"/>
                <w:sz w:val="20"/>
              </w:rPr>
              <w:t>150.0</w:t>
            </w:r>
          </w:p>
        </w:tc>
        <w:tc>
          <w:tcPr>
            <w:tcW w:w="1950" w:type="pct"/>
            <w:shd w:val="clear" w:color="auto" w:fill="auto"/>
            <w:vAlign w:val="center"/>
          </w:tcPr>
          <w:p w14:paraId="3180752E" w14:textId="77777777" w:rsidR="00B646A4" w:rsidRPr="008F5782" w:rsidRDefault="00B646A4" w:rsidP="007D1995">
            <w:pPr>
              <w:pStyle w:val="Khc0"/>
              <w:tabs>
                <w:tab w:val="left" w:pos="432"/>
              </w:tabs>
              <w:spacing w:after="120" w:line="360" w:lineRule="auto"/>
              <w:ind w:firstLine="0"/>
              <w:rPr>
                <w:rFonts w:ascii="Arial" w:hAnsi="Arial" w:cs="Arial"/>
                <w:color w:val="010000"/>
                <w:sz w:val="20"/>
              </w:rPr>
            </w:pPr>
            <w:r w:rsidRPr="008F5782">
              <w:rPr>
                <w:rFonts w:ascii="Arial" w:hAnsi="Arial" w:cs="Arial"/>
                <w:color w:val="010000"/>
                <w:sz w:val="20"/>
              </w:rPr>
              <w:t>Resolution No. 32/NQ-VNS dated October 11, 2022</w:t>
            </w:r>
          </w:p>
        </w:tc>
      </w:tr>
      <w:tr w:rsidR="00B646A4" w:rsidRPr="008F5782" w14:paraId="2604491E" w14:textId="77777777" w:rsidTr="007D1995">
        <w:tc>
          <w:tcPr>
            <w:tcW w:w="2249" w:type="pct"/>
            <w:shd w:val="clear" w:color="auto" w:fill="auto"/>
            <w:vAlign w:val="center"/>
          </w:tcPr>
          <w:p w14:paraId="5E153D86" w14:textId="77777777" w:rsidR="00B646A4" w:rsidRPr="008F5782" w:rsidRDefault="00B646A4" w:rsidP="007D1995">
            <w:pPr>
              <w:pStyle w:val="Khc0"/>
              <w:tabs>
                <w:tab w:val="left" w:pos="432"/>
              </w:tabs>
              <w:spacing w:after="120" w:line="360" w:lineRule="auto"/>
              <w:ind w:firstLine="0"/>
              <w:rPr>
                <w:rFonts w:ascii="Arial" w:hAnsi="Arial" w:cs="Arial"/>
                <w:color w:val="010000"/>
                <w:sz w:val="20"/>
              </w:rPr>
            </w:pPr>
            <w:r w:rsidRPr="008F5782">
              <w:rPr>
                <w:rFonts w:ascii="Arial" w:hAnsi="Arial" w:cs="Arial"/>
                <w:color w:val="010000"/>
                <w:sz w:val="20"/>
              </w:rPr>
              <w:t>2. Purchase charter capital at Southern Steel Sheet Co., Ltd</w:t>
            </w:r>
          </w:p>
        </w:tc>
        <w:tc>
          <w:tcPr>
            <w:tcW w:w="801" w:type="pct"/>
            <w:shd w:val="clear" w:color="auto" w:fill="auto"/>
            <w:vAlign w:val="center"/>
          </w:tcPr>
          <w:p w14:paraId="6FE62407" w14:textId="77777777" w:rsidR="00B646A4" w:rsidRPr="008F5782" w:rsidRDefault="00B646A4" w:rsidP="007D1995">
            <w:pPr>
              <w:pStyle w:val="Khc0"/>
              <w:tabs>
                <w:tab w:val="left" w:pos="432"/>
              </w:tabs>
              <w:spacing w:after="120" w:line="360" w:lineRule="auto"/>
              <w:ind w:firstLine="0"/>
              <w:rPr>
                <w:rFonts w:ascii="Arial" w:hAnsi="Arial" w:cs="Arial"/>
                <w:color w:val="010000"/>
                <w:sz w:val="20"/>
              </w:rPr>
            </w:pPr>
            <w:r w:rsidRPr="008F5782">
              <w:rPr>
                <w:rFonts w:ascii="Arial" w:hAnsi="Arial" w:cs="Arial"/>
                <w:color w:val="010000"/>
                <w:sz w:val="20"/>
              </w:rPr>
              <w:t>92.05</w:t>
            </w:r>
          </w:p>
        </w:tc>
        <w:tc>
          <w:tcPr>
            <w:tcW w:w="1950" w:type="pct"/>
            <w:shd w:val="clear" w:color="auto" w:fill="auto"/>
            <w:vAlign w:val="center"/>
          </w:tcPr>
          <w:p w14:paraId="6B012563" w14:textId="77777777" w:rsidR="00B646A4" w:rsidRPr="008F5782" w:rsidRDefault="00B646A4" w:rsidP="007D1995">
            <w:pPr>
              <w:pStyle w:val="Khc0"/>
              <w:tabs>
                <w:tab w:val="left" w:pos="432"/>
              </w:tabs>
              <w:spacing w:after="120" w:line="360" w:lineRule="auto"/>
              <w:ind w:firstLine="0"/>
              <w:rPr>
                <w:rFonts w:ascii="Arial" w:hAnsi="Arial" w:cs="Arial"/>
                <w:color w:val="010000"/>
                <w:sz w:val="20"/>
              </w:rPr>
            </w:pPr>
            <w:r w:rsidRPr="008F5782">
              <w:rPr>
                <w:rFonts w:ascii="Arial" w:hAnsi="Arial" w:cs="Arial"/>
                <w:color w:val="010000"/>
                <w:sz w:val="20"/>
              </w:rPr>
              <w:t>Resolution 09/NQ-VNS dated February 07, 2024</w:t>
            </w:r>
          </w:p>
        </w:tc>
      </w:tr>
      <w:tr w:rsidR="00B646A4" w:rsidRPr="008F5782" w14:paraId="14F6E5AE" w14:textId="77777777" w:rsidTr="007D1995">
        <w:tc>
          <w:tcPr>
            <w:tcW w:w="2249" w:type="pct"/>
            <w:shd w:val="clear" w:color="auto" w:fill="auto"/>
            <w:vAlign w:val="center"/>
          </w:tcPr>
          <w:p w14:paraId="0D75CB02" w14:textId="77777777" w:rsidR="00B646A4" w:rsidRPr="008F5782" w:rsidRDefault="00B646A4" w:rsidP="007D1995">
            <w:pPr>
              <w:pStyle w:val="Khc0"/>
              <w:tabs>
                <w:tab w:val="left" w:pos="432"/>
              </w:tabs>
              <w:spacing w:after="120" w:line="360" w:lineRule="auto"/>
              <w:ind w:firstLine="0"/>
              <w:rPr>
                <w:rFonts w:ascii="Arial" w:hAnsi="Arial" w:cs="Arial"/>
                <w:color w:val="010000"/>
                <w:sz w:val="20"/>
              </w:rPr>
            </w:pPr>
            <w:r w:rsidRPr="008F5782">
              <w:rPr>
                <w:rFonts w:ascii="Arial" w:hAnsi="Arial" w:cs="Arial"/>
                <w:color w:val="010000"/>
                <w:sz w:val="20"/>
              </w:rPr>
              <w:t>3. Other investments (Office of the Corporation)</w:t>
            </w:r>
          </w:p>
        </w:tc>
        <w:tc>
          <w:tcPr>
            <w:tcW w:w="801" w:type="pct"/>
            <w:shd w:val="clear" w:color="auto" w:fill="auto"/>
            <w:vAlign w:val="center"/>
          </w:tcPr>
          <w:p w14:paraId="7AF9CDA9" w14:textId="77777777" w:rsidR="00B646A4" w:rsidRPr="008F5782" w:rsidRDefault="00B646A4" w:rsidP="007D1995">
            <w:pPr>
              <w:pStyle w:val="Khc0"/>
              <w:tabs>
                <w:tab w:val="left" w:pos="432"/>
              </w:tabs>
              <w:spacing w:after="120" w:line="360" w:lineRule="auto"/>
              <w:ind w:firstLine="0"/>
              <w:rPr>
                <w:rFonts w:ascii="Arial" w:hAnsi="Arial" w:cs="Arial"/>
                <w:color w:val="010000"/>
                <w:sz w:val="20"/>
              </w:rPr>
            </w:pPr>
            <w:r w:rsidRPr="008F5782">
              <w:rPr>
                <w:rFonts w:ascii="Arial" w:hAnsi="Arial" w:cs="Arial"/>
                <w:color w:val="010000"/>
                <w:sz w:val="20"/>
              </w:rPr>
              <w:t>17.822</w:t>
            </w:r>
          </w:p>
        </w:tc>
        <w:tc>
          <w:tcPr>
            <w:tcW w:w="1950" w:type="pct"/>
            <w:shd w:val="clear" w:color="auto" w:fill="auto"/>
            <w:vAlign w:val="center"/>
          </w:tcPr>
          <w:p w14:paraId="5C53C69A" w14:textId="77777777" w:rsidR="00B646A4" w:rsidRPr="008F5782" w:rsidRDefault="00B646A4" w:rsidP="007D1995">
            <w:pPr>
              <w:pStyle w:val="Khc0"/>
              <w:tabs>
                <w:tab w:val="left" w:pos="432"/>
              </w:tabs>
              <w:spacing w:after="120" w:line="360" w:lineRule="auto"/>
              <w:ind w:firstLine="0"/>
              <w:rPr>
                <w:rFonts w:ascii="Arial" w:hAnsi="Arial" w:cs="Arial"/>
                <w:color w:val="010000"/>
                <w:sz w:val="20"/>
              </w:rPr>
            </w:pPr>
            <w:r w:rsidRPr="008F5782">
              <w:rPr>
                <w:rFonts w:ascii="Arial" w:hAnsi="Arial" w:cs="Arial"/>
                <w:color w:val="010000"/>
                <w:sz w:val="20"/>
              </w:rPr>
              <w:t>Decision No. 03/QD-VNS dated January 05, 2024 and document dated March 11, 2024 of the Office.</w:t>
            </w:r>
          </w:p>
        </w:tc>
      </w:tr>
      <w:tr w:rsidR="00B646A4" w:rsidRPr="008F5782" w14:paraId="30DAA981" w14:textId="77777777" w:rsidTr="007D1995">
        <w:tc>
          <w:tcPr>
            <w:tcW w:w="2249" w:type="pct"/>
            <w:shd w:val="clear" w:color="auto" w:fill="auto"/>
            <w:vAlign w:val="center"/>
          </w:tcPr>
          <w:p w14:paraId="5ED5EE9E" w14:textId="77777777" w:rsidR="00B646A4" w:rsidRPr="008F5782" w:rsidRDefault="00B646A4" w:rsidP="007D1995">
            <w:pPr>
              <w:pStyle w:val="Khc0"/>
              <w:tabs>
                <w:tab w:val="left" w:pos="432"/>
              </w:tabs>
              <w:spacing w:after="120" w:line="360" w:lineRule="auto"/>
              <w:ind w:firstLine="0"/>
              <w:rPr>
                <w:rFonts w:ascii="Arial" w:hAnsi="Arial" w:cs="Arial"/>
                <w:color w:val="010000"/>
                <w:sz w:val="20"/>
              </w:rPr>
            </w:pPr>
            <w:r w:rsidRPr="008F5782">
              <w:rPr>
                <w:rFonts w:ascii="Arial" w:hAnsi="Arial" w:cs="Arial"/>
                <w:color w:val="010000"/>
                <w:sz w:val="20"/>
              </w:rPr>
              <w:t>4. Phuong Nam Hotel</w:t>
            </w:r>
          </w:p>
        </w:tc>
        <w:tc>
          <w:tcPr>
            <w:tcW w:w="801" w:type="pct"/>
            <w:shd w:val="clear" w:color="auto" w:fill="auto"/>
            <w:vAlign w:val="center"/>
          </w:tcPr>
          <w:p w14:paraId="50301C42" w14:textId="77777777" w:rsidR="00B646A4" w:rsidRPr="008F5782" w:rsidRDefault="00B646A4" w:rsidP="007D1995">
            <w:pPr>
              <w:pStyle w:val="Khc0"/>
              <w:tabs>
                <w:tab w:val="left" w:pos="432"/>
              </w:tabs>
              <w:spacing w:after="120" w:line="360" w:lineRule="auto"/>
              <w:ind w:firstLine="0"/>
              <w:rPr>
                <w:rFonts w:ascii="Arial" w:hAnsi="Arial" w:cs="Arial"/>
                <w:color w:val="010000"/>
                <w:sz w:val="20"/>
              </w:rPr>
            </w:pPr>
            <w:r w:rsidRPr="008F5782">
              <w:rPr>
                <w:rFonts w:ascii="Arial" w:hAnsi="Arial" w:cs="Arial"/>
                <w:color w:val="010000"/>
                <w:sz w:val="20"/>
              </w:rPr>
              <w:t>0.589</w:t>
            </w:r>
          </w:p>
        </w:tc>
        <w:tc>
          <w:tcPr>
            <w:tcW w:w="1950" w:type="pct"/>
            <w:shd w:val="clear" w:color="auto" w:fill="auto"/>
            <w:vAlign w:val="center"/>
          </w:tcPr>
          <w:p w14:paraId="60B8E94A" w14:textId="77777777" w:rsidR="00B646A4" w:rsidRPr="008F5782" w:rsidRDefault="00B646A4" w:rsidP="007D1995">
            <w:pPr>
              <w:pStyle w:val="Khc0"/>
              <w:tabs>
                <w:tab w:val="left" w:pos="432"/>
              </w:tabs>
              <w:spacing w:after="120" w:line="360" w:lineRule="auto"/>
              <w:ind w:firstLine="0"/>
              <w:rPr>
                <w:rFonts w:ascii="Arial" w:hAnsi="Arial" w:cs="Arial"/>
                <w:color w:val="010000"/>
                <w:sz w:val="20"/>
              </w:rPr>
            </w:pPr>
            <w:proofErr w:type="spellStart"/>
            <w:r w:rsidRPr="008F5782">
              <w:rPr>
                <w:rFonts w:ascii="Arial" w:hAnsi="Arial" w:cs="Arial"/>
                <w:color w:val="010000"/>
                <w:sz w:val="20"/>
              </w:rPr>
              <w:t>Offcial</w:t>
            </w:r>
            <w:proofErr w:type="spellEnd"/>
            <w:r w:rsidRPr="008F5782">
              <w:rPr>
                <w:rFonts w:ascii="Arial" w:hAnsi="Arial" w:cs="Arial"/>
                <w:color w:val="010000"/>
                <w:sz w:val="20"/>
              </w:rPr>
              <w:t xml:space="preserve"> Dispatch No. 11/TT-KSPN dated March 14, 2024 of Phuong Nam Hotel </w:t>
            </w:r>
          </w:p>
        </w:tc>
      </w:tr>
      <w:tr w:rsidR="00B646A4" w:rsidRPr="008F5782" w14:paraId="36841326" w14:textId="77777777" w:rsidTr="007D1995">
        <w:tc>
          <w:tcPr>
            <w:tcW w:w="2249" w:type="pct"/>
            <w:shd w:val="clear" w:color="auto" w:fill="auto"/>
            <w:vAlign w:val="center"/>
          </w:tcPr>
          <w:p w14:paraId="4FA589BC" w14:textId="77777777" w:rsidR="00B646A4" w:rsidRPr="008F5782" w:rsidRDefault="00B646A4" w:rsidP="007D1995">
            <w:pPr>
              <w:pStyle w:val="Khc0"/>
              <w:tabs>
                <w:tab w:val="left" w:pos="432"/>
              </w:tabs>
              <w:spacing w:after="120" w:line="360" w:lineRule="auto"/>
              <w:ind w:firstLine="0"/>
              <w:rPr>
                <w:rFonts w:ascii="Arial" w:hAnsi="Arial" w:cs="Arial"/>
                <w:color w:val="010000"/>
                <w:sz w:val="20"/>
              </w:rPr>
            </w:pPr>
            <w:r w:rsidRPr="008F5782">
              <w:rPr>
                <w:rFonts w:ascii="Arial" w:hAnsi="Arial" w:cs="Arial"/>
                <w:color w:val="010000"/>
                <w:sz w:val="20"/>
              </w:rPr>
              <w:t>5. Sun pro Steel project</w:t>
            </w:r>
          </w:p>
        </w:tc>
        <w:tc>
          <w:tcPr>
            <w:tcW w:w="801" w:type="pct"/>
            <w:shd w:val="clear" w:color="auto" w:fill="auto"/>
            <w:vAlign w:val="center"/>
          </w:tcPr>
          <w:p w14:paraId="1CA1E344" w14:textId="77777777" w:rsidR="00B646A4" w:rsidRPr="008F5782" w:rsidRDefault="00B646A4" w:rsidP="007D1995">
            <w:pPr>
              <w:pStyle w:val="Khc0"/>
              <w:tabs>
                <w:tab w:val="left" w:pos="432"/>
              </w:tabs>
              <w:spacing w:after="120" w:line="360" w:lineRule="auto"/>
              <w:ind w:firstLine="0"/>
              <w:rPr>
                <w:rFonts w:ascii="Arial" w:hAnsi="Arial" w:cs="Arial"/>
                <w:color w:val="010000"/>
                <w:sz w:val="20"/>
              </w:rPr>
            </w:pPr>
            <w:r w:rsidRPr="008F5782">
              <w:rPr>
                <w:rFonts w:ascii="Arial" w:hAnsi="Arial" w:cs="Arial"/>
                <w:color w:val="010000"/>
                <w:sz w:val="20"/>
              </w:rPr>
              <w:t>210.2</w:t>
            </w:r>
          </w:p>
        </w:tc>
        <w:tc>
          <w:tcPr>
            <w:tcW w:w="1950" w:type="pct"/>
            <w:shd w:val="clear" w:color="auto" w:fill="auto"/>
            <w:vAlign w:val="center"/>
          </w:tcPr>
          <w:p w14:paraId="099865BF" w14:textId="77777777" w:rsidR="00B646A4" w:rsidRPr="008F5782" w:rsidRDefault="00B646A4" w:rsidP="007D1995">
            <w:pPr>
              <w:pStyle w:val="Khc0"/>
              <w:tabs>
                <w:tab w:val="left" w:pos="432"/>
              </w:tabs>
              <w:spacing w:after="120" w:line="360" w:lineRule="auto"/>
              <w:ind w:firstLine="0"/>
              <w:rPr>
                <w:rFonts w:ascii="Arial" w:hAnsi="Arial" w:cs="Arial"/>
                <w:color w:val="010000"/>
                <w:sz w:val="20"/>
              </w:rPr>
            </w:pPr>
            <w:r w:rsidRPr="008F5782">
              <w:rPr>
                <w:rFonts w:ascii="Arial" w:hAnsi="Arial" w:cs="Arial"/>
                <w:color w:val="010000"/>
                <w:sz w:val="20"/>
              </w:rPr>
              <w:t>Resolution No. 126/NQ-VNS dated December 18, 2023</w:t>
            </w:r>
          </w:p>
        </w:tc>
      </w:tr>
    </w:tbl>
    <w:p w14:paraId="52D86F42" w14:textId="5CD29A41" w:rsidR="007D1995" w:rsidRPr="008F5782" w:rsidRDefault="00B646A4" w:rsidP="00BB3A7B">
      <w:pPr>
        <w:numPr>
          <w:ilvl w:val="1"/>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F5782">
        <w:rPr>
          <w:rFonts w:ascii="Arial" w:hAnsi="Arial" w:cs="Arial"/>
          <w:color w:val="010000"/>
          <w:sz w:val="20"/>
        </w:rPr>
        <w:t>Regarding dividend payment:</w:t>
      </w:r>
    </w:p>
    <w:p w14:paraId="5225D715" w14:textId="1551A518" w:rsidR="007D1995" w:rsidRPr="008F5782" w:rsidRDefault="007D1995"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5782">
        <w:rPr>
          <w:rFonts w:ascii="Arial" w:eastAsia="Arial" w:hAnsi="Arial" w:cs="Arial"/>
          <w:color w:val="010000"/>
          <w:sz w:val="20"/>
          <w:szCs w:val="20"/>
        </w:rPr>
        <w:t>According to the Corporation's separate Financial Statements, after making appropriation for the above funds, the remaining accumulated profit after tax is VND 199.37 billion (291.8- 4.89- 87.54 = 199.37) and the Corporation's charter capital is VND 6,780 billion.</w:t>
      </w:r>
    </w:p>
    <w:p w14:paraId="10B917A0" w14:textId="658C8C77" w:rsidR="007D1995" w:rsidRPr="008F5782" w:rsidRDefault="007D1995"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5782">
        <w:rPr>
          <w:rFonts w:ascii="Arial" w:eastAsia="Arial" w:hAnsi="Arial" w:cs="Arial"/>
          <w:color w:val="010000"/>
          <w:sz w:val="20"/>
          <w:szCs w:val="20"/>
        </w:rPr>
        <w:t xml:space="preserve">The balance of the Development and Investment Fund after making additional appropriation according to regulations is VND 338.54 billion (251 +87.54= 338.54), which is not enough to implement the 05 items in the above plan (about VND 470.65 billion) (not including the investment in purchasing charter capital at VINAUSTEEL LTD., </w:t>
      </w:r>
      <w:r w:rsidR="00865BF1" w:rsidRPr="008F5782">
        <w:rPr>
          <w:rFonts w:ascii="Arial" w:eastAsia="Arial" w:hAnsi="Arial" w:cs="Arial"/>
          <w:color w:val="010000"/>
          <w:sz w:val="20"/>
          <w:szCs w:val="20"/>
        </w:rPr>
        <w:t xml:space="preserve">in the amount of </w:t>
      </w:r>
      <w:r w:rsidRPr="008F5782">
        <w:rPr>
          <w:rFonts w:ascii="Arial" w:eastAsia="Arial" w:hAnsi="Arial" w:cs="Arial"/>
          <w:color w:val="010000"/>
          <w:sz w:val="20"/>
          <w:szCs w:val="20"/>
        </w:rPr>
        <w:t>VND 67 billion disbursed in February 2024)</w:t>
      </w:r>
    </w:p>
    <w:p w14:paraId="27CC042F" w14:textId="4457250A" w:rsidR="007D1995" w:rsidRPr="008F5782" w:rsidRDefault="007D1995"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5782">
        <w:rPr>
          <w:rFonts w:ascii="Arial" w:eastAsia="Arial" w:hAnsi="Arial" w:cs="Arial"/>
          <w:color w:val="010000"/>
          <w:sz w:val="20"/>
          <w:szCs w:val="20"/>
        </w:rPr>
        <w:t>In 2024, the domestic and international steel market is forecast</w:t>
      </w:r>
      <w:r w:rsidR="00865BF1" w:rsidRPr="008F5782">
        <w:rPr>
          <w:rFonts w:ascii="Arial" w:eastAsia="Arial" w:hAnsi="Arial" w:cs="Arial"/>
          <w:color w:val="010000"/>
          <w:sz w:val="20"/>
          <w:szCs w:val="20"/>
        </w:rPr>
        <w:t>ed</w:t>
      </w:r>
      <w:r w:rsidRPr="008F5782">
        <w:rPr>
          <w:rFonts w:ascii="Arial" w:eastAsia="Arial" w:hAnsi="Arial" w:cs="Arial"/>
          <w:color w:val="010000"/>
          <w:sz w:val="20"/>
          <w:szCs w:val="20"/>
        </w:rPr>
        <w:t xml:space="preserve"> to develop very complicatedly and in a negative direction due to many unfavorable factors such as: the real estate market </w:t>
      </w:r>
      <w:r w:rsidR="00865BF1" w:rsidRPr="008F5782">
        <w:rPr>
          <w:rFonts w:ascii="Arial" w:eastAsia="Arial" w:hAnsi="Arial" w:cs="Arial"/>
          <w:color w:val="010000"/>
          <w:sz w:val="20"/>
          <w:szCs w:val="20"/>
        </w:rPr>
        <w:t xml:space="preserve">being </w:t>
      </w:r>
      <w:r w:rsidRPr="008F5782">
        <w:rPr>
          <w:rFonts w:ascii="Arial" w:eastAsia="Arial" w:hAnsi="Arial" w:cs="Arial"/>
          <w:color w:val="010000"/>
          <w:sz w:val="20"/>
          <w:szCs w:val="20"/>
        </w:rPr>
        <w:t xml:space="preserve">frozen, leading to the </w:t>
      </w:r>
      <w:r w:rsidR="00865BF1" w:rsidRPr="008F5782">
        <w:rPr>
          <w:rFonts w:ascii="Arial" w:eastAsia="Arial" w:hAnsi="Arial" w:cs="Arial"/>
          <w:color w:val="010000"/>
          <w:sz w:val="20"/>
          <w:szCs w:val="20"/>
        </w:rPr>
        <w:t xml:space="preserve">quiet </w:t>
      </w:r>
      <w:r w:rsidRPr="008F5782">
        <w:rPr>
          <w:rFonts w:ascii="Arial" w:eastAsia="Arial" w:hAnsi="Arial" w:cs="Arial"/>
          <w:color w:val="010000"/>
          <w:sz w:val="20"/>
          <w:szCs w:val="20"/>
        </w:rPr>
        <w:t xml:space="preserve">construction materials market; Steel enterprises compete to reduce selling prices to gain market share... This reality leads to the business results and financial situation of the steel industry in general, including VNS in particular, facing many </w:t>
      </w:r>
      <w:r w:rsidR="00865BF1" w:rsidRPr="008F5782">
        <w:rPr>
          <w:rFonts w:ascii="Arial" w:eastAsia="Arial" w:hAnsi="Arial" w:cs="Arial"/>
          <w:color w:val="010000"/>
          <w:sz w:val="20"/>
          <w:szCs w:val="20"/>
        </w:rPr>
        <w:t xml:space="preserve">serious </w:t>
      </w:r>
      <w:r w:rsidRPr="008F5782">
        <w:rPr>
          <w:rFonts w:ascii="Arial" w:eastAsia="Arial" w:hAnsi="Arial" w:cs="Arial"/>
          <w:color w:val="010000"/>
          <w:sz w:val="20"/>
          <w:szCs w:val="20"/>
        </w:rPr>
        <w:t>risks and challenges. Therefore, the need to ensure the financial stability of the Corporation is extremely urgent.</w:t>
      </w:r>
    </w:p>
    <w:p w14:paraId="42EF6274" w14:textId="62AAA226" w:rsidR="007D1995" w:rsidRPr="008F5782" w:rsidRDefault="007D1995"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5782">
        <w:rPr>
          <w:rFonts w:ascii="Arial" w:eastAsia="Arial" w:hAnsi="Arial" w:cs="Arial"/>
          <w:color w:val="010000"/>
          <w:sz w:val="20"/>
          <w:szCs w:val="20"/>
        </w:rPr>
        <w:t xml:space="preserve">In addition, in 2024, the Corporation will have to proactively prepare large financial resources to: Pay revenues according to the </w:t>
      </w:r>
      <w:r w:rsidR="008F5782" w:rsidRPr="008F5782">
        <w:rPr>
          <w:rFonts w:ascii="Arial" w:eastAsia="Arial" w:hAnsi="Arial" w:cs="Arial"/>
          <w:color w:val="010000"/>
          <w:sz w:val="20"/>
          <w:szCs w:val="20"/>
        </w:rPr>
        <w:t xml:space="preserve">decision on </w:t>
      </w:r>
      <w:proofErr w:type="spellStart"/>
      <w:r w:rsidRPr="008F5782">
        <w:rPr>
          <w:rFonts w:ascii="Arial" w:eastAsia="Arial" w:hAnsi="Arial" w:cs="Arial"/>
          <w:color w:val="010000"/>
          <w:sz w:val="20"/>
          <w:szCs w:val="20"/>
        </w:rPr>
        <w:t>equitization</w:t>
      </w:r>
      <w:proofErr w:type="spellEnd"/>
      <w:r w:rsidRPr="008F5782">
        <w:rPr>
          <w:rFonts w:ascii="Arial" w:eastAsia="Arial" w:hAnsi="Arial" w:cs="Arial"/>
          <w:color w:val="010000"/>
          <w:sz w:val="20"/>
          <w:szCs w:val="20"/>
        </w:rPr>
        <w:t xml:space="preserve"> finalization and implement plans to handle the </w:t>
      </w:r>
      <w:proofErr w:type="spellStart"/>
      <w:r w:rsidRPr="008F5782">
        <w:rPr>
          <w:rFonts w:ascii="Arial" w:eastAsia="Arial" w:hAnsi="Arial" w:cs="Arial"/>
          <w:color w:val="010000"/>
          <w:sz w:val="20"/>
          <w:szCs w:val="20"/>
        </w:rPr>
        <w:t>Tisco</w:t>
      </w:r>
      <w:proofErr w:type="spellEnd"/>
      <w:r w:rsidRPr="008F5782">
        <w:rPr>
          <w:rFonts w:ascii="Arial" w:eastAsia="Arial" w:hAnsi="Arial" w:cs="Arial"/>
          <w:color w:val="010000"/>
          <w:sz w:val="20"/>
          <w:szCs w:val="20"/>
        </w:rPr>
        <w:t xml:space="preserve"> 2 Project and restructure VTM after being approved by the competent authority.</w:t>
      </w:r>
    </w:p>
    <w:p w14:paraId="08753D37" w14:textId="783C6792" w:rsidR="001E1724" w:rsidRPr="008F5782" w:rsidRDefault="008F5782"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5782">
        <w:rPr>
          <w:rFonts w:ascii="Arial" w:hAnsi="Arial" w:cs="Arial"/>
          <w:color w:val="010000"/>
          <w:sz w:val="20"/>
        </w:rPr>
        <w:t>From the above reasons, th</w:t>
      </w:r>
      <w:r w:rsidR="00B646A4" w:rsidRPr="008F5782">
        <w:rPr>
          <w:rFonts w:ascii="Arial" w:hAnsi="Arial" w:cs="Arial"/>
          <w:color w:val="010000"/>
          <w:sz w:val="20"/>
        </w:rPr>
        <w:t>e Board of Directors proposes not to pay dividends.</w:t>
      </w:r>
    </w:p>
    <w:p w14:paraId="14BA2134" w14:textId="77777777" w:rsidR="001E1724" w:rsidRPr="008F5782" w:rsidRDefault="00B646A4"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5782">
        <w:rPr>
          <w:rFonts w:ascii="Arial" w:hAnsi="Arial" w:cs="Arial"/>
          <w:color w:val="010000"/>
          <w:sz w:val="20"/>
        </w:rPr>
        <w:t>The remaining profit after tax, after appropriation for funds, will be used to accumulate for development investment.</w:t>
      </w:r>
    </w:p>
    <w:p w14:paraId="43988089" w14:textId="77777777" w:rsidR="001E1724" w:rsidRPr="008F5782" w:rsidRDefault="00B646A4"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8F5782">
        <w:rPr>
          <w:rFonts w:ascii="Arial" w:hAnsi="Arial" w:cs="Arial"/>
          <w:color w:val="010000"/>
          <w:sz w:val="20"/>
        </w:rPr>
        <w:t>Article 4.</w:t>
      </w:r>
      <w:proofErr w:type="gramEnd"/>
      <w:r w:rsidRPr="008F5782">
        <w:rPr>
          <w:rFonts w:ascii="Arial" w:hAnsi="Arial" w:cs="Arial"/>
          <w:color w:val="010000"/>
          <w:sz w:val="20"/>
        </w:rPr>
        <w:t xml:space="preserve"> Approve the production and business plan 2024 of Viet Nam Steel Corporation with the following main targets:</w:t>
      </w:r>
    </w:p>
    <w:p w14:paraId="4C87EDE5" w14:textId="77777777" w:rsidR="001E1724" w:rsidRPr="008F5782" w:rsidRDefault="00B646A4" w:rsidP="00BB3A7B">
      <w:pPr>
        <w:keepNext/>
        <w:numPr>
          <w:ilvl w:val="0"/>
          <w:numId w:val="9"/>
        </w:numPr>
        <w:pBdr>
          <w:top w:val="nil"/>
          <w:left w:val="nil"/>
          <w:bottom w:val="nil"/>
          <w:right w:val="nil"/>
          <w:between w:val="nil"/>
        </w:pBdr>
        <w:tabs>
          <w:tab w:val="left" w:pos="432"/>
          <w:tab w:val="left" w:pos="949"/>
        </w:tabs>
        <w:spacing w:after="120" w:line="360" w:lineRule="auto"/>
        <w:ind w:left="0" w:firstLine="0"/>
        <w:jc w:val="both"/>
        <w:rPr>
          <w:rFonts w:ascii="Arial" w:eastAsia="Arial" w:hAnsi="Arial" w:cs="Arial"/>
          <w:color w:val="010000"/>
          <w:sz w:val="20"/>
          <w:szCs w:val="20"/>
        </w:rPr>
      </w:pPr>
      <w:r w:rsidRPr="008F5782">
        <w:rPr>
          <w:rFonts w:ascii="Arial" w:hAnsi="Arial" w:cs="Arial"/>
          <w:color w:val="010000"/>
          <w:sz w:val="20"/>
        </w:rPr>
        <w:lastRenderedPageBreak/>
        <w:t>Production and business plan for 2024:</w:t>
      </w:r>
    </w:p>
    <w:p w14:paraId="15BE5A23" w14:textId="77777777" w:rsidR="001E1724" w:rsidRPr="008F5782" w:rsidRDefault="00B646A4" w:rsidP="00BB3A7B">
      <w:pPr>
        <w:numPr>
          <w:ilvl w:val="1"/>
          <w:numId w:val="9"/>
        </w:numPr>
        <w:pBdr>
          <w:top w:val="nil"/>
          <w:left w:val="nil"/>
          <w:bottom w:val="nil"/>
          <w:right w:val="nil"/>
          <w:between w:val="nil"/>
        </w:pBdr>
        <w:tabs>
          <w:tab w:val="left" w:pos="432"/>
          <w:tab w:val="left" w:pos="1162"/>
        </w:tabs>
        <w:spacing w:after="120" w:line="360" w:lineRule="auto"/>
        <w:ind w:left="0" w:firstLine="0"/>
        <w:jc w:val="both"/>
        <w:rPr>
          <w:rFonts w:ascii="Arial" w:eastAsia="Arial" w:hAnsi="Arial" w:cs="Arial"/>
          <w:color w:val="010000"/>
          <w:sz w:val="20"/>
          <w:szCs w:val="20"/>
        </w:rPr>
      </w:pPr>
      <w:r w:rsidRPr="008F5782">
        <w:rPr>
          <w:rFonts w:ascii="Arial" w:hAnsi="Arial" w:cs="Arial"/>
          <w:color w:val="010000"/>
          <w:sz w:val="20"/>
        </w:rPr>
        <w:t>Financial plan:</w:t>
      </w:r>
    </w:p>
    <w:p w14:paraId="4294B26D" w14:textId="77777777" w:rsidR="001E1724" w:rsidRPr="008F5782" w:rsidRDefault="00B646A4" w:rsidP="00BB3A7B">
      <w:pPr>
        <w:numPr>
          <w:ilvl w:val="0"/>
          <w:numId w:val="8"/>
        </w:numPr>
        <w:pBdr>
          <w:top w:val="nil"/>
          <w:left w:val="nil"/>
          <w:bottom w:val="nil"/>
          <w:right w:val="nil"/>
          <w:between w:val="nil"/>
        </w:pBdr>
        <w:tabs>
          <w:tab w:val="left" w:pos="432"/>
          <w:tab w:val="left" w:pos="856"/>
        </w:tabs>
        <w:spacing w:after="120" w:line="360" w:lineRule="auto"/>
        <w:jc w:val="both"/>
        <w:rPr>
          <w:rFonts w:ascii="Arial" w:eastAsia="Arial" w:hAnsi="Arial" w:cs="Arial"/>
          <w:color w:val="010000"/>
          <w:sz w:val="20"/>
          <w:szCs w:val="20"/>
        </w:rPr>
      </w:pPr>
      <w:r w:rsidRPr="008F5782">
        <w:rPr>
          <w:rFonts w:ascii="Arial" w:hAnsi="Arial" w:cs="Arial"/>
          <w:color w:val="010000"/>
          <w:sz w:val="20"/>
        </w:rPr>
        <w:t>Total revenue on the Consolidated Financial Statements: VND 31,500 billion</w:t>
      </w:r>
    </w:p>
    <w:p w14:paraId="5D8DE4E6" w14:textId="77777777" w:rsidR="001E1724" w:rsidRPr="008F5782" w:rsidRDefault="00B646A4" w:rsidP="00BB3A7B">
      <w:pPr>
        <w:numPr>
          <w:ilvl w:val="0"/>
          <w:numId w:val="8"/>
        </w:numPr>
        <w:pBdr>
          <w:top w:val="nil"/>
          <w:left w:val="nil"/>
          <w:bottom w:val="nil"/>
          <w:right w:val="nil"/>
          <w:between w:val="nil"/>
        </w:pBdr>
        <w:tabs>
          <w:tab w:val="left" w:pos="432"/>
          <w:tab w:val="left" w:pos="856"/>
        </w:tabs>
        <w:spacing w:after="120" w:line="360" w:lineRule="auto"/>
        <w:jc w:val="both"/>
        <w:rPr>
          <w:rFonts w:ascii="Arial" w:eastAsia="Arial" w:hAnsi="Arial" w:cs="Arial"/>
          <w:color w:val="010000"/>
          <w:sz w:val="20"/>
          <w:szCs w:val="20"/>
        </w:rPr>
      </w:pPr>
      <w:r w:rsidRPr="008F5782">
        <w:rPr>
          <w:rFonts w:ascii="Arial" w:hAnsi="Arial" w:cs="Arial"/>
          <w:color w:val="010000"/>
          <w:sz w:val="20"/>
        </w:rPr>
        <w:t>Profit before tax on Consolidated Financial Statements: VND 120 billion</w:t>
      </w:r>
    </w:p>
    <w:p w14:paraId="27933B93" w14:textId="77777777" w:rsidR="001E1724" w:rsidRPr="008F5782" w:rsidRDefault="00B646A4" w:rsidP="00BB3A7B">
      <w:pPr>
        <w:numPr>
          <w:ilvl w:val="0"/>
          <w:numId w:val="8"/>
        </w:numPr>
        <w:pBdr>
          <w:top w:val="nil"/>
          <w:left w:val="nil"/>
          <w:bottom w:val="nil"/>
          <w:right w:val="nil"/>
          <w:between w:val="nil"/>
        </w:pBdr>
        <w:tabs>
          <w:tab w:val="left" w:pos="432"/>
          <w:tab w:val="left" w:pos="856"/>
        </w:tabs>
        <w:spacing w:after="120" w:line="360" w:lineRule="auto"/>
        <w:jc w:val="both"/>
        <w:rPr>
          <w:rFonts w:ascii="Arial" w:eastAsia="Arial" w:hAnsi="Arial" w:cs="Arial"/>
          <w:color w:val="010000"/>
          <w:sz w:val="20"/>
          <w:szCs w:val="20"/>
        </w:rPr>
      </w:pPr>
      <w:r w:rsidRPr="008F5782">
        <w:rPr>
          <w:rFonts w:ascii="Arial" w:hAnsi="Arial" w:cs="Arial"/>
          <w:color w:val="010000"/>
          <w:sz w:val="20"/>
        </w:rPr>
        <w:t>Total revenue on the separate Financial Statements: VND 2,341 billion</w:t>
      </w:r>
    </w:p>
    <w:p w14:paraId="56613F15" w14:textId="77777777" w:rsidR="001E1724" w:rsidRPr="008F5782" w:rsidRDefault="00B646A4" w:rsidP="00BB3A7B">
      <w:pPr>
        <w:numPr>
          <w:ilvl w:val="0"/>
          <w:numId w:val="8"/>
        </w:numPr>
        <w:pBdr>
          <w:top w:val="nil"/>
          <w:left w:val="nil"/>
          <w:bottom w:val="nil"/>
          <w:right w:val="nil"/>
          <w:between w:val="nil"/>
        </w:pBdr>
        <w:tabs>
          <w:tab w:val="left" w:pos="432"/>
          <w:tab w:val="left" w:pos="856"/>
        </w:tabs>
        <w:spacing w:after="120" w:line="360" w:lineRule="auto"/>
        <w:jc w:val="both"/>
        <w:rPr>
          <w:rFonts w:ascii="Arial" w:eastAsia="Arial" w:hAnsi="Arial" w:cs="Arial"/>
          <w:color w:val="010000"/>
          <w:sz w:val="20"/>
          <w:szCs w:val="20"/>
        </w:rPr>
      </w:pPr>
      <w:r w:rsidRPr="008F5782">
        <w:rPr>
          <w:rFonts w:ascii="Arial" w:hAnsi="Arial" w:cs="Arial"/>
          <w:color w:val="010000"/>
          <w:sz w:val="20"/>
        </w:rPr>
        <w:t>Profit before tax on the separate Financial Statements: VND 15 billion</w:t>
      </w:r>
    </w:p>
    <w:p w14:paraId="6BBDE9CF" w14:textId="77777777" w:rsidR="001E1724" w:rsidRPr="008F5782" w:rsidRDefault="00B646A4" w:rsidP="00BB3A7B">
      <w:pPr>
        <w:numPr>
          <w:ilvl w:val="0"/>
          <w:numId w:val="8"/>
        </w:numPr>
        <w:pBdr>
          <w:top w:val="nil"/>
          <w:left w:val="nil"/>
          <w:bottom w:val="nil"/>
          <w:right w:val="nil"/>
          <w:between w:val="nil"/>
        </w:pBdr>
        <w:tabs>
          <w:tab w:val="left" w:pos="432"/>
          <w:tab w:val="left" w:pos="856"/>
        </w:tabs>
        <w:spacing w:after="120" w:line="360" w:lineRule="auto"/>
        <w:jc w:val="both"/>
        <w:rPr>
          <w:rFonts w:ascii="Arial" w:eastAsia="Arial" w:hAnsi="Arial" w:cs="Arial"/>
          <w:color w:val="010000"/>
          <w:sz w:val="20"/>
          <w:szCs w:val="20"/>
        </w:rPr>
      </w:pPr>
      <w:r w:rsidRPr="008F5782">
        <w:rPr>
          <w:rFonts w:ascii="Arial" w:hAnsi="Arial" w:cs="Arial"/>
          <w:color w:val="010000"/>
          <w:sz w:val="20"/>
        </w:rPr>
        <w:t>Credit limit of the Holding Company: VND 4,350 billion</w:t>
      </w:r>
    </w:p>
    <w:p w14:paraId="6FBF9A97" w14:textId="77777777" w:rsidR="001E1724" w:rsidRPr="008F5782" w:rsidRDefault="00B646A4" w:rsidP="00BB3A7B">
      <w:pPr>
        <w:numPr>
          <w:ilvl w:val="1"/>
          <w:numId w:val="9"/>
        </w:numPr>
        <w:pBdr>
          <w:top w:val="nil"/>
          <w:left w:val="nil"/>
          <w:bottom w:val="nil"/>
          <w:right w:val="nil"/>
          <w:between w:val="nil"/>
        </w:pBdr>
        <w:tabs>
          <w:tab w:val="left" w:pos="432"/>
          <w:tab w:val="left" w:pos="1125"/>
        </w:tabs>
        <w:spacing w:after="120" w:line="360" w:lineRule="auto"/>
        <w:ind w:left="0" w:firstLine="0"/>
        <w:jc w:val="both"/>
        <w:rPr>
          <w:rFonts w:ascii="Arial" w:eastAsia="Arial" w:hAnsi="Arial" w:cs="Arial"/>
          <w:color w:val="010000"/>
          <w:sz w:val="20"/>
          <w:szCs w:val="20"/>
        </w:rPr>
      </w:pPr>
      <w:r w:rsidRPr="008F5782">
        <w:rPr>
          <w:rFonts w:ascii="Arial" w:hAnsi="Arial" w:cs="Arial"/>
          <w:color w:val="010000"/>
          <w:sz w:val="20"/>
        </w:rPr>
        <w:t>Plan for investment and development, and investment in purchasing and upgrading fixed assets:</w:t>
      </w:r>
    </w:p>
    <w:p w14:paraId="249A7E61" w14:textId="77777777" w:rsidR="001E1724" w:rsidRPr="008F5782" w:rsidRDefault="00B646A4" w:rsidP="00BB3A7B">
      <w:pPr>
        <w:numPr>
          <w:ilvl w:val="2"/>
          <w:numId w:val="9"/>
        </w:numPr>
        <w:pBdr>
          <w:top w:val="nil"/>
          <w:left w:val="nil"/>
          <w:bottom w:val="nil"/>
          <w:right w:val="nil"/>
          <w:between w:val="nil"/>
        </w:pBdr>
        <w:tabs>
          <w:tab w:val="left" w:pos="432"/>
          <w:tab w:val="left" w:pos="1125"/>
        </w:tabs>
        <w:spacing w:after="120" w:line="360" w:lineRule="auto"/>
        <w:ind w:left="0" w:firstLine="0"/>
        <w:jc w:val="both"/>
        <w:rPr>
          <w:rFonts w:ascii="Arial" w:eastAsia="Arial" w:hAnsi="Arial" w:cs="Arial"/>
          <w:color w:val="010000"/>
          <w:sz w:val="20"/>
          <w:szCs w:val="20"/>
        </w:rPr>
      </w:pPr>
      <w:r w:rsidRPr="008F5782">
        <w:rPr>
          <w:rFonts w:ascii="Arial" w:hAnsi="Arial" w:cs="Arial"/>
          <w:color w:val="010000"/>
          <w:sz w:val="20"/>
        </w:rPr>
        <w:t>Investment plan for development and investment in purchasing and upgrading fixed assets of the Holding Company: expected from VND 537.66 billion to VND 847.66 billion, specifically as follows:</w:t>
      </w:r>
    </w:p>
    <w:p w14:paraId="55EF1BE4" w14:textId="77777777" w:rsidR="001E1724" w:rsidRPr="008F5782" w:rsidRDefault="00B646A4" w:rsidP="00BB3A7B">
      <w:pPr>
        <w:numPr>
          <w:ilvl w:val="0"/>
          <w:numId w:val="10"/>
        </w:numPr>
        <w:pBdr>
          <w:top w:val="nil"/>
          <w:left w:val="nil"/>
          <w:bottom w:val="nil"/>
          <w:right w:val="nil"/>
          <w:between w:val="nil"/>
        </w:pBdr>
        <w:tabs>
          <w:tab w:val="left" w:pos="432"/>
          <w:tab w:val="left" w:pos="1111"/>
        </w:tabs>
        <w:spacing w:after="120" w:line="360" w:lineRule="auto"/>
        <w:jc w:val="both"/>
        <w:rPr>
          <w:rFonts w:ascii="Arial" w:eastAsia="Arial" w:hAnsi="Arial" w:cs="Arial"/>
          <w:color w:val="010000"/>
          <w:sz w:val="20"/>
          <w:szCs w:val="20"/>
        </w:rPr>
      </w:pPr>
      <w:r w:rsidRPr="008F5782">
        <w:rPr>
          <w:rFonts w:ascii="Arial" w:hAnsi="Arial" w:cs="Arial"/>
          <w:color w:val="010000"/>
          <w:sz w:val="20"/>
        </w:rPr>
        <w:t>Investing and contributing capital to other enterprises to serve business activities or to invest in new projects: from VND 519.25 billion to VND 829.25 billion</w:t>
      </w:r>
    </w:p>
    <w:p w14:paraId="510DCCB3" w14:textId="77777777" w:rsidR="001E1724" w:rsidRPr="008F5782" w:rsidRDefault="00B646A4" w:rsidP="00BB3A7B">
      <w:pPr>
        <w:numPr>
          <w:ilvl w:val="0"/>
          <w:numId w:val="8"/>
        </w:numPr>
        <w:pBdr>
          <w:top w:val="nil"/>
          <w:left w:val="nil"/>
          <w:bottom w:val="nil"/>
          <w:right w:val="nil"/>
          <w:between w:val="nil"/>
        </w:pBdr>
        <w:tabs>
          <w:tab w:val="left" w:pos="432"/>
          <w:tab w:val="left" w:pos="1016"/>
        </w:tabs>
        <w:spacing w:after="120" w:line="360" w:lineRule="auto"/>
        <w:jc w:val="both"/>
        <w:rPr>
          <w:rFonts w:ascii="Arial" w:eastAsia="Arial" w:hAnsi="Arial" w:cs="Arial"/>
          <w:color w:val="010000"/>
          <w:sz w:val="20"/>
          <w:szCs w:val="20"/>
        </w:rPr>
      </w:pPr>
      <w:r w:rsidRPr="008F5782">
        <w:rPr>
          <w:rFonts w:ascii="Arial" w:hAnsi="Arial" w:cs="Arial"/>
          <w:color w:val="010000"/>
          <w:sz w:val="20"/>
        </w:rPr>
        <w:t xml:space="preserve">Acquiring shares of VII at </w:t>
      </w:r>
      <w:proofErr w:type="spellStart"/>
      <w:r w:rsidRPr="008F5782">
        <w:rPr>
          <w:rFonts w:ascii="Arial" w:hAnsi="Arial" w:cs="Arial"/>
          <w:color w:val="010000"/>
          <w:sz w:val="20"/>
        </w:rPr>
        <w:t>Vinausteel</w:t>
      </w:r>
      <w:proofErr w:type="spellEnd"/>
      <w:r w:rsidRPr="008F5782">
        <w:rPr>
          <w:rFonts w:ascii="Arial" w:hAnsi="Arial" w:cs="Arial"/>
          <w:color w:val="010000"/>
          <w:sz w:val="20"/>
        </w:rPr>
        <w:t>: VND 67 billion;</w:t>
      </w:r>
    </w:p>
    <w:p w14:paraId="1972C4D3" w14:textId="77777777" w:rsidR="001E1724" w:rsidRPr="008F5782" w:rsidRDefault="00B646A4" w:rsidP="00BB3A7B">
      <w:pPr>
        <w:numPr>
          <w:ilvl w:val="0"/>
          <w:numId w:val="8"/>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8F5782">
        <w:rPr>
          <w:rFonts w:ascii="Arial" w:hAnsi="Arial" w:cs="Arial"/>
          <w:color w:val="010000"/>
          <w:sz w:val="20"/>
        </w:rPr>
        <w:t>Acquiring about 6% of foreign partners' capital contribution at Phuong Nam Steel Sheet Company: VND 92.05 billion;</w:t>
      </w:r>
    </w:p>
    <w:p w14:paraId="62F5854D" w14:textId="77777777" w:rsidR="001E1724" w:rsidRPr="008F5782" w:rsidRDefault="00B646A4" w:rsidP="00BB3A7B">
      <w:pPr>
        <w:numPr>
          <w:ilvl w:val="0"/>
          <w:numId w:val="8"/>
        </w:numPr>
        <w:pBdr>
          <w:top w:val="nil"/>
          <w:left w:val="nil"/>
          <w:bottom w:val="nil"/>
          <w:right w:val="nil"/>
          <w:between w:val="nil"/>
        </w:pBdr>
        <w:tabs>
          <w:tab w:val="left" w:pos="432"/>
          <w:tab w:val="left" w:pos="974"/>
        </w:tabs>
        <w:spacing w:after="120" w:line="360" w:lineRule="auto"/>
        <w:jc w:val="both"/>
        <w:rPr>
          <w:rFonts w:ascii="Arial" w:eastAsia="Arial" w:hAnsi="Arial" w:cs="Arial"/>
          <w:color w:val="010000"/>
          <w:sz w:val="20"/>
          <w:szCs w:val="20"/>
        </w:rPr>
      </w:pPr>
      <w:r w:rsidRPr="008F5782">
        <w:rPr>
          <w:rFonts w:ascii="Arial" w:hAnsi="Arial" w:cs="Arial"/>
          <w:color w:val="010000"/>
          <w:sz w:val="20"/>
        </w:rPr>
        <w:t xml:space="preserve">Buy shares at </w:t>
      </w:r>
      <w:proofErr w:type="spellStart"/>
      <w:r w:rsidRPr="008F5782">
        <w:rPr>
          <w:rFonts w:ascii="Arial" w:hAnsi="Arial" w:cs="Arial"/>
          <w:color w:val="010000"/>
          <w:sz w:val="20"/>
        </w:rPr>
        <w:t>Nha</w:t>
      </w:r>
      <w:proofErr w:type="spellEnd"/>
      <w:r w:rsidRPr="008F5782">
        <w:rPr>
          <w:rFonts w:ascii="Arial" w:hAnsi="Arial" w:cs="Arial"/>
          <w:color w:val="010000"/>
          <w:sz w:val="20"/>
        </w:rPr>
        <w:t xml:space="preserve"> Be Steel Joint Stock Company to invest in additional billet refining line with capacity of 150,000 tons/year: VND 150 billion;</w:t>
      </w:r>
    </w:p>
    <w:p w14:paraId="0007D316" w14:textId="77777777" w:rsidR="001E1724" w:rsidRPr="008F5782" w:rsidRDefault="00B646A4" w:rsidP="00BB3A7B">
      <w:pPr>
        <w:numPr>
          <w:ilvl w:val="0"/>
          <w:numId w:val="8"/>
        </w:numPr>
        <w:pBdr>
          <w:top w:val="nil"/>
          <w:left w:val="nil"/>
          <w:bottom w:val="nil"/>
          <w:right w:val="nil"/>
          <w:between w:val="nil"/>
        </w:pBdr>
        <w:tabs>
          <w:tab w:val="left" w:pos="432"/>
          <w:tab w:val="left" w:pos="981"/>
        </w:tabs>
        <w:spacing w:after="120" w:line="360" w:lineRule="auto"/>
        <w:jc w:val="both"/>
        <w:rPr>
          <w:rFonts w:ascii="Arial" w:eastAsia="Arial" w:hAnsi="Arial" w:cs="Arial"/>
          <w:color w:val="010000"/>
          <w:sz w:val="20"/>
          <w:szCs w:val="20"/>
        </w:rPr>
      </w:pPr>
      <w:r w:rsidRPr="008F5782">
        <w:rPr>
          <w:rFonts w:ascii="Arial" w:hAnsi="Arial" w:cs="Arial"/>
          <w:color w:val="010000"/>
          <w:sz w:val="20"/>
        </w:rPr>
        <w:t>Invest in 01 steel rolling mill with capacity of 500,000 tons/year in the form of merger and acquisition of existing steel production enterprises in the Southern region: Expected from VND 210.2 billion to VND 520.2 billion.</w:t>
      </w:r>
    </w:p>
    <w:p w14:paraId="4739ACFD" w14:textId="77777777" w:rsidR="001E1724" w:rsidRPr="008F5782" w:rsidRDefault="00B646A4" w:rsidP="00BB3A7B">
      <w:pPr>
        <w:numPr>
          <w:ilvl w:val="0"/>
          <w:numId w:val="10"/>
        </w:numPr>
        <w:pBdr>
          <w:top w:val="nil"/>
          <w:left w:val="nil"/>
          <w:bottom w:val="nil"/>
          <w:right w:val="nil"/>
          <w:between w:val="nil"/>
        </w:pBdr>
        <w:tabs>
          <w:tab w:val="left" w:pos="432"/>
          <w:tab w:val="left" w:pos="1152"/>
        </w:tabs>
        <w:spacing w:after="120" w:line="360" w:lineRule="auto"/>
        <w:jc w:val="both"/>
        <w:rPr>
          <w:rFonts w:ascii="Arial" w:eastAsia="Arial" w:hAnsi="Arial" w:cs="Arial"/>
          <w:color w:val="010000"/>
          <w:sz w:val="20"/>
          <w:szCs w:val="20"/>
        </w:rPr>
      </w:pPr>
      <w:r w:rsidRPr="008F5782">
        <w:rPr>
          <w:rFonts w:ascii="Arial" w:hAnsi="Arial" w:cs="Arial"/>
          <w:color w:val="010000"/>
          <w:sz w:val="20"/>
        </w:rPr>
        <w:t>Investment in purchasing and upgrading fixed assets:</w:t>
      </w:r>
    </w:p>
    <w:p w14:paraId="0AAE3005" w14:textId="77777777" w:rsidR="001E1724" w:rsidRPr="008F5782" w:rsidRDefault="00B646A4" w:rsidP="00BB3A7B">
      <w:pPr>
        <w:numPr>
          <w:ilvl w:val="0"/>
          <w:numId w:val="8"/>
        </w:numPr>
        <w:pBdr>
          <w:top w:val="nil"/>
          <w:left w:val="nil"/>
          <w:bottom w:val="nil"/>
          <w:right w:val="nil"/>
          <w:between w:val="nil"/>
        </w:pBdr>
        <w:tabs>
          <w:tab w:val="left" w:pos="432"/>
          <w:tab w:val="left" w:pos="1016"/>
        </w:tabs>
        <w:spacing w:after="120" w:line="360" w:lineRule="auto"/>
        <w:jc w:val="both"/>
        <w:rPr>
          <w:rFonts w:ascii="Arial" w:eastAsia="Arial" w:hAnsi="Arial" w:cs="Arial"/>
          <w:color w:val="010000"/>
          <w:sz w:val="20"/>
          <w:szCs w:val="20"/>
        </w:rPr>
      </w:pPr>
      <w:r w:rsidRPr="008F5782">
        <w:rPr>
          <w:rFonts w:ascii="Arial" w:hAnsi="Arial" w:cs="Arial"/>
          <w:color w:val="010000"/>
          <w:sz w:val="20"/>
        </w:rPr>
        <w:t>Disbursement value: VND 18.41 billion;</w:t>
      </w:r>
    </w:p>
    <w:p w14:paraId="5774E337" w14:textId="77777777" w:rsidR="001E1724" w:rsidRPr="008F5782" w:rsidRDefault="00B646A4" w:rsidP="00BB3A7B">
      <w:pPr>
        <w:numPr>
          <w:ilvl w:val="0"/>
          <w:numId w:val="8"/>
        </w:numPr>
        <w:pBdr>
          <w:top w:val="nil"/>
          <w:left w:val="nil"/>
          <w:bottom w:val="nil"/>
          <w:right w:val="nil"/>
          <w:between w:val="nil"/>
        </w:pBdr>
        <w:tabs>
          <w:tab w:val="left" w:pos="432"/>
          <w:tab w:val="left" w:pos="1016"/>
        </w:tabs>
        <w:spacing w:after="120" w:line="360" w:lineRule="auto"/>
        <w:jc w:val="both"/>
        <w:rPr>
          <w:rFonts w:ascii="Arial" w:eastAsia="Arial" w:hAnsi="Arial" w:cs="Arial"/>
          <w:color w:val="010000"/>
          <w:sz w:val="20"/>
          <w:szCs w:val="20"/>
        </w:rPr>
      </w:pPr>
      <w:r w:rsidRPr="008F5782">
        <w:rPr>
          <w:rFonts w:ascii="Arial" w:hAnsi="Arial" w:cs="Arial"/>
          <w:color w:val="010000"/>
          <w:sz w:val="20"/>
        </w:rPr>
        <w:t>Source of capital for implementation: Owners’ equity</w:t>
      </w:r>
    </w:p>
    <w:p w14:paraId="3A3DA60C" w14:textId="77777777" w:rsidR="001E1724" w:rsidRPr="008F5782" w:rsidRDefault="00B646A4" w:rsidP="00BB3A7B">
      <w:pPr>
        <w:numPr>
          <w:ilvl w:val="0"/>
          <w:numId w:val="8"/>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8F5782">
        <w:rPr>
          <w:rFonts w:ascii="Arial" w:hAnsi="Arial" w:cs="Arial"/>
          <w:color w:val="010000"/>
          <w:sz w:val="20"/>
        </w:rPr>
        <w:t>Investment purpose: to carry out investment items of the Corporation Office and Phuong Nam Hotel.</w:t>
      </w:r>
    </w:p>
    <w:p w14:paraId="6A17F7DE" w14:textId="77777777" w:rsidR="001E1724" w:rsidRPr="008F5782" w:rsidRDefault="00B646A4" w:rsidP="00BB3A7B">
      <w:pPr>
        <w:numPr>
          <w:ilvl w:val="0"/>
          <w:numId w:val="1"/>
        </w:numPr>
        <w:pBdr>
          <w:top w:val="nil"/>
          <w:left w:val="nil"/>
          <w:bottom w:val="nil"/>
          <w:right w:val="nil"/>
          <w:between w:val="nil"/>
        </w:pBdr>
        <w:tabs>
          <w:tab w:val="left" w:pos="432"/>
          <w:tab w:val="left" w:pos="1514"/>
        </w:tabs>
        <w:spacing w:after="120" w:line="360" w:lineRule="auto"/>
        <w:jc w:val="both"/>
        <w:rPr>
          <w:rFonts w:ascii="Arial" w:eastAsia="Arial" w:hAnsi="Arial" w:cs="Arial"/>
          <w:color w:val="010000"/>
          <w:sz w:val="20"/>
          <w:szCs w:val="20"/>
        </w:rPr>
      </w:pPr>
      <w:r w:rsidRPr="008F5782">
        <w:rPr>
          <w:rFonts w:ascii="Arial" w:hAnsi="Arial" w:cs="Arial"/>
          <w:color w:val="010000"/>
          <w:sz w:val="20"/>
        </w:rPr>
        <w:t>Investment plan for development and investment in purchasing and upgrading fixed assets of subsidiaries and joint ventures:</w:t>
      </w:r>
    </w:p>
    <w:p w14:paraId="348CF3DD" w14:textId="77777777" w:rsidR="001E1724" w:rsidRPr="008F5782" w:rsidRDefault="00B646A4"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5782">
        <w:rPr>
          <w:rFonts w:ascii="Arial" w:hAnsi="Arial" w:cs="Arial"/>
          <w:color w:val="010000"/>
          <w:sz w:val="20"/>
        </w:rPr>
        <w:t>Expected investment capital disbursement plan in 2024 of units in the Corporation's system is VND 673.829 billion to implement investment projects and investment items as follows:</w:t>
      </w:r>
    </w:p>
    <w:p w14:paraId="1E743490" w14:textId="77777777" w:rsidR="001E1724" w:rsidRPr="008F5782" w:rsidRDefault="00B646A4" w:rsidP="00BB3A7B">
      <w:pPr>
        <w:numPr>
          <w:ilvl w:val="0"/>
          <w:numId w:val="2"/>
        </w:numPr>
        <w:pBdr>
          <w:top w:val="nil"/>
          <w:left w:val="nil"/>
          <w:bottom w:val="nil"/>
          <w:right w:val="nil"/>
          <w:between w:val="nil"/>
        </w:pBdr>
        <w:tabs>
          <w:tab w:val="left" w:pos="432"/>
          <w:tab w:val="left" w:pos="1098"/>
        </w:tabs>
        <w:spacing w:after="120" w:line="360" w:lineRule="auto"/>
        <w:jc w:val="both"/>
        <w:rPr>
          <w:rFonts w:ascii="Arial" w:eastAsia="Arial" w:hAnsi="Arial" w:cs="Arial"/>
          <w:color w:val="010000"/>
          <w:sz w:val="20"/>
          <w:szCs w:val="20"/>
        </w:rPr>
      </w:pPr>
      <w:r w:rsidRPr="008F5782">
        <w:rPr>
          <w:rFonts w:ascii="Arial" w:hAnsi="Arial" w:cs="Arial"/>
          <w:color w:val="010000"/>
          <w:sz w:val="20"/>
        </w:rPr>
        <w:t>Development and investment plan</w:t>
      </w:r>
    </w:p>
    <w:p w14:paraId="6B113288" w14:textId="64591F2A" w:rsidR="001E1724" w:rsidRPr="008F5782" w:rsidRDefault="00B646A4"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5782">
        <w:rPr>
          <w:rFonts w:ascii="Arial" w:hAnsi="Arial" w:cs="Arial"/>
          <w:color w:val="010000"/>
          <w:sz w:val="20"/>
        </w:rPr>
        <w:t>The capital construction investment plan 2024 of units throughout the Corporation's system: expected to disburse VND 314.34 billion, of which:</w:t>
      </w:r>
    </w:p>
    <w:p w14:paraId="0DCC6A6B" w14:textId="77777777" w:rsidR="001E1724" w:rsidRPr="008F5782" w:rsidRDefault="00B646A4" w:rsidP="00BB3A7B">
      <w:pPr>
        <w:numPr>
          <w:ilvl w:val="0"/>
          <w:numId w:val="8"/>
        </w:numPr>
        <w:pBdr>
          <w:top w:val="nil"/>
          <w:left w:val="nil"/>
          <w:bottom w:val="nil"/>
          <w:right w:val="nil"/>
          <w:between w:val="nil"/>
        </w:pBdr>
        <w:tabs>
          <w:tab w:val="left" w:pos="432"/>
          <w:tab w:val="left" w:pos="972"/>
          <w:tab w:val="left" w:pos="3634"/>
        </w:tabs>
        <w:spacing w:after="120" w:line="360" w:lineRule="auto"/>
        <w:jc w:val="both"/>
        <w:rPr>
          <w:rFonts w:ascii="Arial" w:eastAsia="Arial" w:hAnsi="Arial" w:cs="Arial"/>
          <w:color w:val="010000"/>
          <w:sz w:val="20"/>
          <w:szCs w:val="20"/>
        </w:rPr>
      </w:pPr>
      <w:r w:rsidRPr="008F5782">
        <w:rPr>
          <w:rFonts w:ascii="Arial" w:hAnsi="Arial" w:cs="Arial"/>
          <w:color w:val="010000"/>
          <w:sz w:val="20"/>
        </w:rPr>
        <w:lastRenderedPageBreak/>
        <w:t>Owners' equity: VND 196.44 billion</w:t>
      </w:r>
    </w:p>
    <w:p w14:paraId="761B4AA2" w14:textId="77777777" w:rsidR="001E1724" w:rsidRPr="008F5782" w:rsidRDefault="00B646A4" w:rsidP="00BB3A7B">
      <w:pPr>
        <w:numPr>
          <w:ilvl w:val="0"/>
          <w:numId w:val="8"/>
        </w:numPr>
        <w:pBdr>
          <w:top w:val="nil"/>
          <w:left w:val="nil"/>
          <w:bottom w:val="nil"/>
          <w:right w:val="nil"/>
          <w:between w:val="nil"/>
        </w:pBdr>
        <w:tabs>
          <w:tab w:val="left" w:pos="432"/>
          <w:tab w:val="left" w:pos="972"/>
        </w:tabs>
        <w:spacing w:after="120" w:line="360" w:lineRule="auto"/>
        <w:jc w:val="both"/>
        <w:rPr>
          <w:rFonts w:ascii="Arial" w:eastAsia="Arial" w:hAnsi="Arial" w:cs="Arial"/>
          <w:color w:val="010000"/>
          <w:sz w:val="20"/>
          <w:szCs w:val="20"/>
        </w:rPr>
      </w:pPr>
      <w:r w:rsidRPr="008F5782">
        <w:rPr>
          <w:rFonts w:ascii="Arial" w:hAnsi="Arial" w:cs="Arial"/>
          <w:color w:val="010000"/>
          <w:sz w:val="20"/>
        </w:rPr>
        <w:t>Commercial loan: VND 117.9 billion</w:t>
      </w:r>
    </w:p>
    <w:p w14:paraId="100B18CC" w14:textId="77777777" w:rsidR="001E1724" w:rsidRPr="008F5782" w:rsidRDefault="00B646A4" w:rsidP="00BB3A7B">
      <w:pPr>
        <w:numPr>
          <w:ilvl w:val="0"/>
          <w:numId w:val="2"/>
        </w:numPr>
        <w:pBdr>
          <w:top w:val="nil"/>
          <w:left w:val="nil"/>
          <w:bottom w:val="nil"/>
          <w:right w:val="nil"/>
          <w:between w:val="nil"/>
        </w:pBdr>
        <w:tabs>
          <w:tab w:val="left" w:pos="432"/>
          <w:tab w:val="left" w:pos="1111"/>
        </w:tabs>
        <w:spacing w:after="120" w:line="360" w:lineRule="auto"/>
        <w:jc w:val="both"/>
        <w:rPr>
          <w:rFonts w:ascii="Arial" w:eastAsia="Arial" w:hAnsi="Arial" w:cs="Arial"/>
          <w:color w:val="010000"/>
          <w:sz w:val="20"/>
          <w:szCs w:val="20"/>
        </w:rPr>
      </w:pPr>
      <w:r w:rsidRPr="008F5782">
        <w:rPr>
          <w:rFonts w:ascii="Arial" w:hAnsi="Arial" w:cs="Arial"/>
          <w:color w:val="010000"/>
          <w:sz w:val="20"/>
        </w:rPr>
        <w:t>Investment plan to purchase and upgrade fixed assets in 2024 of subsidiaries and joint ventures with a total implementation value of VND 359.489 billion, of which:</w:t>
      </w:r>
    </w:p>
    <w:p w14:paraId="14C30BF9" w14:textId="77777777" w:rsidR="001E1724" w:rsidRPr="008F5782" w:rsidRDefault="00B646A4" w:rsidP="00BB3A7B">
      <w:pPr>
        <w:numPr>
          <w:ilvl w:val="0"/>
          <w:numId w:val="8"/>
        </w:numPr>
        <w:pBdr>
          <w:top w:val="nil"/>
          <w:left w:val="nil"/>
          <w:bottom w:val="nil"/>
          <w:right w:val="nil"/>
          <w:between w:val="nil"/>
        </w:pBdr>
        <w:tabs>
          <w:tab w:val="left" w:pos="432"/>
          <w:tab w:val="left" w:pos="979"/>
          <w:tab w:val="left" w:pos="9578"/>
        </w:tabs>
        <w:spacing w:after="120" w:line="360" w:lineRule="auto"/>
        <w:jc w:val="both"/>
        <w:rPr>
          <w:rFonts w:ascii="Arial" w:eastAsia="Arial" w:hAnsi="Arial" w:cs="Arial"/>
          <w:color w:val="010000"/>
          <w:sz w:val="20"/>
          <w:szCs w:val="20"/>
        </w:rPr>
      </w:pPr>
      <w:r w:rsidRPr="008F5782">
        <w:rPr>
          <w:rFonts w:ascii="Arial" w:hAnsi="Arial" w:cs="Arial"/>
          <w:color w:val="010000"/>
          <w:sz w:val="20"/>
        </w:rPr>
        <w:t xml:space="preserve">Owners' equity: VND 183.827 billion. </w:t>
      </w:r>
    </w:p>
    <w:p w14:paraId="19AF1C56" w14:textId="77777777" w:rsidR="001E1724" w:rsidRPr="008F5782" w:rsidRDefault="00B646A4" w:rsidP="00BB3A7B">
      <w:pPr>
        <w:numPr>
          <w:ilvl w:val="0"/>
          <w:numId w:val="8"/>
        </w:numPr>
        <w:pBdr>
          <w:top w:val="nil"/>
          <w:left w:val="nil"/>
          <w:bottom w:val="nil"/>
          <w:right w:val="nil"/>
          <w:between w:val="nil"/>
        </w:pBdr>
        <w:tabs>
          <w:tab w:val="left" w:pos="432"/>
          <w:tab w:val="left" w:pos="979"/>
          <w:tab w:val="left" w:pos="2834"/>
          <w:tab w:val="left" w:pos="9578"/>
        </w:tabs>
        <w:spacing w:after="120" w:line="360" w:lineRule="auto"/>
        <w:jc w:val="both"/>
        <w:rPr>
          <w:rFonts w:ascii="Arial" w:eastAsia="Arial" w:hAnsi="Arial" w:cs="Arial"/>
          <w:color w:val="010000"/>
          <w:sz w:val="20"/>
          <w:szCs w:val="20"/>
        </w:rPr>
      </w:pPr>
      <w:r w:rsidRPr="008F5782">
        <w:rPr>
          <w:rFonts w:ascii="Arial" w:hAnsi="Arial" w:cs="Arial"/>
          <w:color w:val="010000"/>
          <w:sz w:val="20"/>
        </w:rPr>
        <w:t xml:space="preserve">Loans: VND 86.862 billion. </w:t>
      </w:r>
    </w:p>
    <w:p w14:paraId="6DDED0A7" w14:textId="77777777" w:rsidR="001E1724" w:rsidRPr="008F5782" w:rsidRDefault="00B646A4" w:rsidP="00BB3A7B">
      <w:pPr>
        <w:numPr>
          <w:ilvl w:val="0"/>
          <w:numId w:val="8"/>
        </w:numPr>
        <w:pBdr>
          <w:top w:val="nil"/>
          <w:left w:val="nil"/>
          <w:bottom w:val="nil"/>
          <w:right w:val="nil"/>
          <w:between w:val="nil"/>
        </w:pBdr>
        <w:tabs>
          <w:tab w:val="left" w:pos="432"/>
          <w:tab w:val="left" w:pos="979"/>
          <w:tab w:val="left" w:pos="2834"/>
          <w:tab w:val="left" w:pos="9578"/>
        </w:tabs>
        <w:spacing w:after="120" w:line="360" w:lineRule="auto"/>
        <w:jc w:val="both"/>
        <w:rPr>
          <w:rFonts w:ascii="Arial" w:eastAsia="Arial" w:hAnsi="Arial" w:cs="Arial"/>
          <w:color w:val="010000"/>
          <w:sz w:val="20"/>
          <w:szCs w:val="20"/>
        </w:rPr>
      </w:pPr>
      <w:r w:rsidRPr="008F5782">
        <w:rPr>
          <w:rFonts w:ascii="Arial" w:hAnsi="Arial" w:cs="Arial"/>
          <w:color w:val="010000"/>
          <w:sz w:val="20"/>
        </w:rPr>
        <w:t xml:space="preserve">Other capital: VND 88.8 billion. </w:t>
      </w:r>
    </w:p>
    <w:p w14:paraId="17F78677" w14:textId="77777777" w:rsidR="001E1724" w:rsidRPr="008F5782" w:rsidRDefault="00B646A4"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8F5782">
        <w:rPr>
          <w:rFonts w:ascii="Arial" w:hAnsi="Arial" w:cs="Arial"/>
          <w:color w:val="010000"/>
          <w:sz w:val="20"/>
        </w:rPr>
        <w:t>Article 5.</w:t>
      </w:r>
      <w:proofErr w:type="gramEnd"/>
      <w:r w:rsidRPr="008F5782">
        <w:rPr>
          <w:rFonts w:ascii="Arial" w:hAnsi="Arial" w:cs="Arial"/>
          <w:color w:val="010000"/>
          <w:sz w:val="20"/>
        </w:rPr>
        <w:t xml:space="preserve"> Approve the Proposal on selecting an audit company for the Financial Statements 2024 of Viet Nam Steel Corporation.</w:t>
      </w:r>
    </w:p>
    <w:p w14:paraId="0DEE3702" w14:textId="77777777" w:rsidR="001E1724" w:rsidRPr="008F5782" w:rsidRDefault="00B646A4"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8F5782">
        <w:rPr>
          <w:rFonts w:ascii="Arial" w:hAnsi="Arial" w:cs="Arial"/>
          <w:color w:val="010000"/>
          <w:sz w:val="20"/>
        </w:rPr>
        <w:t>Article 6.</w:t>
      </w:r>
      <w:proofErr w:type="gramEnd"/>
      <w:r w:rsidRPr="008F5782">
        <w:rPr>
          <w:rFonts w:ascii="Arial" w:hAnsi="Arial" w:cs="Arial"/>
          <w:color w:val="010000"/>
          <w:sz w:val="20"/>
        </w:rPr>
        <w:t xml:space="preserve"> Approve the Proposal on salaries and remunerations implemented in 2023 and the remuneration plan for 2024 of the Board of Directors and the Supervisory Board of Viet Nam Steel Corporation, specifically:</w:t>
      </w:r>
    </w:p>
    <w:p w14:paraId="06C10EEA" w14:textId="77777777" w:rsidR="001E1724" w:rsidRPr="008F5782" w:rsidRDefault="00B646A4" w:rsidP="00BB3A7B">
      <w:pPr>
        <w:numPr>
          <w:ilvl w:val="0"/>
          <w:numId w:val="3"/>
        </w:numPr>
        <w:pBdr>
          <w:top w:val="nil"/>
          <w:left w:val="nil"/>
          <w:bottom w:val="nil"/>
          <w:right w:val="nil"/>
          <w:between w:val="nil"/>
        </w:pBdr>
        <w:tabs>
          <w:tab w:val="left" w:pos="432"/>
          <w:tab w:val="left" w:pos="920"/>
        </w:tabs>
        <w:spacing w:after="120" w:line="360" w:lineRule="auto"/>
        <w:jc w:val="both"/>
        <w:rPr>
          <w:rFonts w:ascii="Arial" w:eastAsia="Arial" w:hAnsi="Arial" w:cs="Arial"/>
          <w:color w:val="010000"/>
          <w:sz w:val="20"/>
          <w:szCs w:val="20"/>
        </w:rPr>
      </w:pPr>
      <w:r w:rsidRPr="008F5782">
        <w:rPr>
          <w:rFonts w:ascii="Arial" w:hAnsi="Arial" w:cs="Arial"/>
          <w:color w:val="010000"/>
          <w:sz w:val="20"/>
        </w:rPr>
        <w:t>The salary fund 2023 for the Board of Directors and the Executive Supervisory Board (including the Chief of the Supervisory Board and Supervisors): VND 2,690.38 million.</w:t>
      </w:r>
    </w:p>
    <w:p w14:paraId="3765C98D" w14:textId="77777777" w:rsidR="001E1724" w:rsidRPr="008F5782" w:rsidRDefault="00B646A4" w:rsidP="00BB3A7B">
      <w:pPr>
        <w:numPr>
          <w:ilvl w:val="0"/>
          <w:numId w:val="3"/>
        </w:numPr>
        <w:pBdr>
          <w:top w:val="nil"/>
          <w:left w:val="nil"/>
          <w:bottom w:val="nil"/>
          <w:right w:val="nil"/>
          <w:between w:val="nil"/>
        </w:pBdr>
        <w:tabs>
          <w:tab w:val="left" w:pos="432"/>
          <w:tab w:val="left" w:pos="913"/>
        </w:tabs>
        <w:spacing w:after="120" w:line="360" w:lineRule="auto"/>
        <w:jc w:val="both"/>
        <w:rPr>
          <w:rFonts w:ascii="Arial" w:eastAsia="Arial" w:hAnsi="Arial" w:cs="Arial"/>
          <w:color w:val="010000"/>
          <w:sz w:val="20"/>
          <w:szCs w:val="20"/>
        </w:rPr>
      </w:pPr>
      <w:r w:rsidRPr="008F5782">
        <w:rPr>
          <w:rFonts w:ascii="Arial" w:hAnsi="Arial" w:cs="Arial"/>
          <w:color w:val="010000"/>
          <w:sz w:val="20"/>
        </w:rPr>
        <w:t>Remuneration fund of the Board of Directors and non-executive Supervisory Board: VND 251.10 million;</w:t>
      </w:r>
    </w:p>
    <w:p w14:paraId="56F1F5F2" w14:textId="77777777" w:rsidR="001E1724" w:rsidRPr="008F5782" w:rsidRDefault="00B646A4"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5782">
        <w:rPr>
          <w:rFonts w:ascii="Arial" w:hAnsi="Arial" w:cs="Arial"/>
          <w:color w:val="010000"/>
          <w:sz w:val="20"/>
        </w:rPr>
        <w:t>In which, remuneration:</w:t>
      </w:r>
    </w:p>
    <w:p w14:paraId="1B7528F2" w14:textId="77777777" w:rsidR="001E1724" w:rsidRPr="008F5782" w:rsidRDefault="00B646A4" w:rsidP="00BB3A7B">
      <w:pPr>
        <w:numPr>
          <w:ilvl w:val="0"/>
          <w:numId w:val="8"/>
        </w:numPr>
        <w:pBdr>
          <w:top w:val="nil"/>
          <w:left w:val="nil"/>
          <w:bottom w:val="nil"/>
          <w:right w:val="nil"/>
          <w:between w:val="nil"/>
        </w:pBdr>
        <w:tabs>
          <w:tab w:val="left" w:pos="432"/>
          <w:tab w:val="left" w:pos="796"/>
        </w:tabs>
        <w:spacing w:after="120" w:line="360" w:lineRule="auto"/>
        <w:jc w:val="both"/>
        <w:rPr>
          <w:rFonts w:ascii="Arial" w:eastAsia="Arial" w:hAnsi="Arial" w:cs="Arial"/>
          <w:color w:val="010000"/>
          <w:sz w:val="20"/>
          <w:szCs w:val="20"/>
        </w:rPr>
      </w:pPr>
      <w:r w:rsidRPr="008F5782">
        <w:rPr>
          <w:rFonts w:ascii="Arial" w:hAnsi="Arial" w:cs="Arial"/>
          <w:color w:val="010000"/>
          <w:sz w:val="20"/>
        </w:rPr>
        <w:t>Chair of the Board of Directors (executive): VND 9.3 million/month;</w:t>
      </w:r>
    </w:p>
    <w:p w14:paraId="78B09232" w14:textId="77777777" w:rsidR="001E1724" w:rsidRPr="008F5782" w:rsidRDefault="00B646A4" w:rsidP="00BB3A7B">
      <w:pPr>
        <w:numPr>
          <w:ilvl w:val="0"/>
          <w:numId w:val="8"/>
        </w:numPr>
        <w:pBdr>
          <w:top w:val="nil"/>
          <w:left w:val="nil"/>
          <w:bottom w:val="nil"/>
          <w:right w:val="nil"/>
          <w:between w:val="nil"/>
        </w:pBdr>
        <w:tabs>
          <w:tab w:val="left" w:pos="432"/>
          <w:tab w:val="left" w:pos="796"/>
          <w:tab w:val="left" w:pos="4331"/>
        </w:tabs>
        <w:spacing w:after="120" w:line="360" w:lineRule="auto"/>
        <w:jc w:val="both"/>
        <w:rPr>
          <w:rFonts w:ascii="Arial" w:eastAsia="Arial" w:hAnsi="Arial" w:cs="Arial"/>
          <w:color w:val="010000"/>
          <w:sz w:val="20"/>
          <w:szCs w:val="20"/>
        </w:rPr>
      </w:pPr>
      <w:r w:rsidRPr="008F5782">
        <w:rPr>
          <w:rFonts w:ascii="Arial" w:hAnsi="Arial" w:cs="Arial"/>
          <w:color w:val="010000"/>
          <w:sz w:val="20"/>
        </w:rPr>
        <w:t>Member of the Board of Directors: VND 7.7 million/person/month;</w:t>
      </w:r>
    </w:p>
    <w:p w14:paraId="28E5708A" w14:textId="77777777" w:rsidR="001E1724" w:rsidRPr="008F5782" w:rsidRDefault="00B646A4" w:rsidP="00BB3A7B">
      <w:pPr>
        <w:numPr>
          <w:ilvl w:val="0"/>
          <w:numId w:val="8"/>
        </w:numPr>
        <w:pBdr>
          <w:top w:val="nil"/>
          <w:left w:val="nil"/>
          <w:bottom w:val="nil"/>
          <w:right w:val="nil"/>
          <w:between w:val="nil"/>
        </w:pBdr>
        <w:tabs>
          <w:tab w:val="left" w:pos="432"/>
          <w:tab w:val="left" w:pos="796"/>
        </w:tabs>
        <w:spacing w:after="120" w:line="360" w:lineRule="auto"/>
        <w:jc w:val="both"/>
        <w:rPr>
          <w:rFonts w:ascii="Arial" w:eastAsia="Arial" w:hAnsi="Arial" w:cs="Arial"/>
          <w:color w:val="010000"/>
          <w:sz w:val="20"/>
          <w:szCs w:val="20"/>
        </w:rPr>
      </w:pPr>
      <w:r w:rsidRPr="008F5782">
        <w:rPr>
          <w:rFonts w:ascii="Arial" w:hAnsi="Arial" w:cs="Arial"/>
          <w:color w:val="010000"/>
          <w:sz w:val="20"/>
        </w:rPr>
        <w:t>Member of the Supervisory Board: VND 4.1 million/person/month.</w:t>
      </w:r>
    </w:p>
    <w:p w14:paraId="051B3906" w14:textId="77777777" w:rsidR="001E1724" w:rsidRPr="008F5782" w:rsidRDefault="00B646A4" w:rsidP="00BB3A7B">
      <w:pPr>
        <w:numPr>
          <w:ilvl w:val="0"/>
          <w:numId w:val="3"/>
        </w:numPr>
        <w:pBdr>
          <w:top w:val="nil"/>
          <w:left w:val="nil"/>
          <w:bottom w:val="nil"/>
          <w:right w:val="nil"/>
          <w:between w:val="nil"/>
        </w:pBdr>
        <w:tabs>
          <w:tab w:val="left" w:pos="432"/>
          <w:tab w:val="left" w:pos="913"/>
        </w:tabs>
        <w:spacing w:after="120" w:line="360" w:lineRule="auto"/>
        <w:jc w:val="both"/>
        <w:rPr>
          <w:rFonts w:ascii="Arial" w:eastAsia="Arial" w:hAnsi="Arial" w:cs="Arial"/>
          <w:color w:val="010000"/>
          <w:sz w:val="20"/>
          <w:szCs w:val="20"/>
        </w:rPr>
      </w:pPr>
      <w:r w:rsidRPr="008F5782">
        <w:rPr>
          <w:rFonts w:ascii="Arial" w:hAnsi="Arial" w:cs="Arial"/>
          <w:color w:val="010000"/>
          <w:sz w:val="20"/>
        </w:rPr>
        <w:t>Planned remuneration fund 2024 for the Board of Directors and the non-executive Supervisory Board: VND 162 million.</w:t>
      </w:r>
    </w:p>
    <w:p w14:paraId="00675B53" w14:textId="77777777" w:rsidR="001E1724" w:rsidRPr="008F5782" w:rsidRDefault="00B646A4"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5782">
        <w:rPr>
          <w:rFonts w:ascii="Arial" w:hAnsi="Arial" w:cs="Arial"/>
          <w:color w:val="010000"/>
          <w:sz w:val="20"/>
        </w:rPr>
        <w:t>In which, remuneration:</w:t>
      </w:r>
    </w:p>
    <w:p w14:paraId="18271EDA" w14:textId="77777777" w:rsidR="001E1724" w:rsidRPr="008F5782" w:rsidRDefault="00B646A4" w:rsidP="00BB3A7B">
      <w:pPr>
        <w:numPr>
          <w:ilvl w:val="0"/>
          <w:numId w:val="8"/>
        </w:numPr>
        <w:pBdr>
          <w:top w:val="nil"/>
          <w:left w:val="nil"/>
          <w:bottom w:val="nil"/>
          <w:right w:val="nil"/>
          <w:between w:val="nil"/>
        </w:pBdr>
        <w:tabs>
          <w:tab w:val="left" w:pos="432"/>
          <w:tab w:val="left" w:pos="796"/>
          <w:tab w:val="left" w:pos="4331"/>
        </w:tabs>
        <w:spacing w:after="120" w:line="360" w:lineRule="auto"/>
        <w:jc w:val="both"/>
        <w:rPr>
          <w:rFonts w:ascii="Arial" w:eastAsia="Arial" w:hAnsi="Arial" w:cs="Arial"/>
          <w:color w:val="010000"/>
          <w:sz w:val="20"/>
          <w:szCs w:val="20"/>
        </w:rPr>
      </w:pPr>
      <w:r w:rsidRPr="008F5782">
        <w:rPr>
          <w:rFonts w:ascii="Arial" w:hAnsi="Arial" w:cs="Arial"/>
          <w:color w:val="010000"/>
          <w:sz w:val="20"/>
        </w:rPr>
        <w:t>Member of the Board of Directors: VND 6.5 million/person/month;</w:t>
      </w:r>
    </w:p>
    <w:p w14:paraId="2FD73E4E" w14:textId="77777777" w:rsidR="001E1724" w:rsidRPr="008F5782" w:rsidRDefault="00B646A4" w:rsidP="00BB3A7B">
      <w:pPr>
        <w:numPr>
          <w:ilvl w:val="0"/>
          <w:numId w:val="8"/>
        </w:numPr>
        <w:pBdr>
          <w:top w:val="nil"/>
          <w:left w:val="nil"/>
          <w:bottom w:val="nil"/>
          <w:right w:val="nil"/>
          <w:between w:val="nil"/>
        </w:pBdr>
        <w:tabs>
          <w:tab w:val="left" w:pos="432"/>
          <w:tab w:val="left" w:pos="796"/>
        </w:tabs>
        <w:spacing w:after="120" w:line="360" w:lineRule="auto"/>
        <w:jc w:val="both"/>
        <w:rPr>
          <w:rFonts w:ascii="Arial" w:eastAsia="Arial" w:hAnsi="Arial" w:cs="Arial"/>
          <w:color w:val="010000"/>
          <w:sz w:val="20"/>
          <w:szCs w:val="20"/>
        </w:rPr>
      </w:pPr>
      <w:r w:rsidRPr="008F5782">
        <w:rPr>
          <w:rFonts w:ascii="Arial" w:hAnsi="Arial" w:cs="Arial"/>
          <w:color w:val="010000"/>
          <w:sz w:val="20"/>
        </w:rPr>
        <w:t>Member of the Supervisory Board: VND 3.5 million/person/month.</w:t>
      </w:r>
    </w:p>
    <w:p w14:paraId="6F7E0584" w14:textId="77777777" w:rsidR="001E1724" w:rsidRPr="008F5782" w:rsidRDefault="00B646A4"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8F5782">
        <w:rPr>
          <w:rFonts w:ascii="Arial" w:hAnsi="Arial" w:cs="Arial"/>
          <w:color w:val="010000"/>
          <w:sz w:val="20"/>
        </w:rPr>
        <w:t>Article 7.</w:t>
      </w:r>
      <w:proofErr w:type="gramEnd"/>
      <w:r w:rsidRPr="008F5782">
        <w:rPr>
          <w:rFonts w:ascii="Arial" w:hAnsi="Arial" w:cs="Arial"/>
          <w:color w:val="010000"/>
          <w:sz w:val="20"/>
        </w:rPr>
        <w:t xml:space="preserve"> Approve Report No. 295 /BC-VNS dated April 25, 2024 on approval of credit limits signed with banks in 2024 of the Holding Company - Viet Nam Steel Corporation.</w:t>
      </w:r>
    </w:p>
    <w:p w14:paraId="50A67A6F" w14:textId="77777777" w:rsidR="001E1724" w:rsidRPr="008F5782" w:rsidRDefault="00B646A4"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8F5782">
        <w:rPr>
          <w:rFonts w:ascii="Arial" w:hAnsi="Arial" w:cs="Arial"/>
          <w:color w:val="010000"/>
          <w:sz w:val="20"/>
        </w:rPr>
        <w:t>Article 8.</w:t>
      </w:r>
      <w:proofErr w:type="gramEnd"/>
      <w:r w:rsidRPr="008F5782">
        <w:rPr>
          <w:rFonts w:ascii="Arial" w:hAnsi="Arial" w:cs="Arial"/>
          <w:color w:val="010000"/>
          <w:sz w:val="20"/>
        </w:rPr>
        <w:t xml:space="preserve"> Approve Proposal No. 455 /</w:t>
      </w:r>
      <w:proofErr w:type="spellStart"/>
      <w:r w:rsidRPr="008F5782">
        <w:rPr>
          <w:rFonts w:ascii="Arial" w:hAnsi="Arial" w:cs="Arial"/>
          <w:color w:val="010000"/>
          <w:sz w:val="20"/>
        </w:rPr>
        <w:t>TTr</w:t>
      </w:r>
      <w:proofErr w:type="spellEnd"/>
      <w:r w:rsidRPr="008F5782">
        <w:rPr>
          <w:rFonts w:ascii="Arial" w:hAnsi="Arial" w:cs="Arial"/>
          <w:color w:val="010000"/>
          <w:sz w:val="20"/>
        </w:rPr>
        <w:t>-VNS dated April 25, 2024 of the Board of Directors of the Corporation on the dismissal and election of members of the Supervisory Board of Viet Nam Steel Corporation, term of 2021-2026.</w:t>
      </w:r>
    </w:p>
    <w:p w14:paraId="1DB3DA4E" w14:textId="77777777" w:rsidR="001E1724" w:rsidRPr="008F5782" w:rsidRDefault="00B646A4"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8F5782">
        <w:rPr>
          <w:rFonts w:ascii="Arial" w:hAnsi="Arial" w:cs="Arial"/>
          <w:color w:val="010000"/>
          <w:sz w:val="20"/>
        </w:rPr>
        <w:t>Article 9.</w:t>
      </w:r>
      <w:proofErr w:type="gramEnd"/>
      <w:r w:rsidRPr="008F5782">
        <w:rPr>
          <w:rFonts w:ascii="Arial" w:hAnsi="Arial" w:cs="Arial"/>
          <w:color w:val="010000"/>
          <w:sz w:val="20"/>
        </w:rPr>
        <w:t xml:space="preserve"> Approve the results of electing members of the Supervisory Board of Viet Nam Steel Corporation for the term 2021 - 2026 as follows:</w:t>
      </w:r>
    </w:p>
    <w:p w14:paraId="17CA9DFB" w14:textId="77777777" w:rsidR="001E1724" w:rsidRPr="008F5782" w:rsidRDefault="00B646A4"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5782">
        <w:rPr>
          <w:rFonts w:ascii="Arial" w:hAnsi="Arial" w:cs="Arial"/>
          <w:color w:val="010000"/>
          <w:sz w:val="20"/>
        </w:rPr>
        <w:t>Elected members of the Supervisory Board: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95"/>
        <w:gridCol w:w="7252"/>
      </w:tblGrid>
      <w:tr w:rsidR="001E1724" w:rsidRPr="008F5782" w14:paraId="341ACEC4" w14:textId="77777777" w:rsidTr="007D1995">
        <w:tc>
          <w:tcPr>
            <w:tcW w:w="992" w:type="pct"/>
            <w:shd w:val="clear" w:color="auto" w:fill="auto"/>
            <w:tcMar>
              <w:top w:w="0" w:type="dxa"/>
              <w:bottom w:w="0" w:type="dxa"/>
            </w:tcMar>
            <w:vAlign w:val="center"/>
          </w:tcPr>
          <w:p w14:paraId="531B7023" w14:textId="77777777" w:rsidR="001E1724" w:rsidRPr="008F5782" w:rsidRDefault="00B646A4" w:rsidP="007D19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5782">
              <w:rPr>
                <w:rFonts w:ascii="Arial" w:hAnsi="Arial" w:cs="Arial"/>
                <w:color w:val="010000"/>
                <w:sz w:val="20"/>
              </w:rPr>
              <w:lastRenderedPageBreak/>
              <w:t>No.</w:t>
            </w:r>
          </w:p>
        </w:tc>
        <w:tc>
          <w:tcPr>
            <w:tcW w:w="4008" w:type="pct"/>
            <w:shd w:val="clear" w:color="auto" w:fill="auto"/>
            <w:tcMar>
              <w:top w:w="0" w:type="dxa"/>
              <w:bottom w:w="0" w:type="dxa"/>
            </w:tcMar>
            <w:vAlign w:val="center"/>
          </w:tcPr>
          <w:p w14:paraId="5EA9D344" w14:textId="77777777" w:rsidR="001E1724" w:rsidRPr="008F5782" w:rsidRDefault="00B646A4" w:rsidP="007D19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5782">
              <w:rPr>
                <w:rFonts w:ascii="Arial" w:hAnsi="Arial" w:cs="Arial"/>
                <w:color w:val="010000"/>
                <w:sz w:val="20"/>
              </w:rPr>
              <w:t>Full name</w:t>
            </w:r>
          </w:p>
        </w:tc>
      </w:tr>
      <w:tr w:rsidR="001E1724" w:rsidRPr="008F5782" w14:paraId="153A7A66" w14:textId="77777777" w:rsidTr="007D1995">
        <w:tc>
          <w:tcPr>
            <w:tcW w:w="992" w:type="pct"/>
            <w:shd w:val="clear" w:color="auto" w:fill="auto"/>
            <w:tcMar>
              <w:top w:w="0" w:type="dxa"/>
              <w:bottom w:w="0" w:type="dxa"/>
            </w:tcMar>
            <w:vAlign w:val="center"/>
          </w:tcPr>
          <w:p w14:paraId="037B00BC" w14:textId="77777777" w:rsidR="001E1724" w:rsidRPr="008F5782" w:rsidRDefault="00B646A4" w:rsidP="007D19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5782">
              <w:rPr>
                <w:rFonts w:ascii="Arial" w:hAnsi="Arial" w:cs="Arial"/>
                <w:color w:val="010000"/>
                <w:sz w:val="20"/>
              </w:rPr>
              <w:t>1</w:t>
            </w:r>
          </w:p>
        </w:tc>
        <w:tc>
          <w:tcPr>
            <w:tcW w:w="4008" w:type="pct"/>
            <w:shd w:val="clear" w:color="auto" w:fill="auto"/>
            <w:tcMar>
              <w:top w:w="0" w:type="dxa"/>
              <w:bottom w:w="0" w:type="dxa"/>
            </w:tcMar>
            <w:vAlign w:val="center"/>
          </w:tcPr>
          <w:p w14:paraId="20D7E35F" w14:textId="77777777" w:rsidR="001E1724" w:rsidRPr="008F5782" w:rsidRDefault="00B646A4" w:rsidP="007D19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5782">
              <w:rPr>
                <w:rFonts w:ascii="Arial" w:hAnsi="Arial" w:cs="Arial"/>
                <w:color w:val="010000"/>
                <w:sz w:val="20"/>
              </w:rPr>
              <w:t xml:space="preserve">Mr. Nguyen Duc </w:t>
            </w:r>
            <w:proofErr w:type="spellStart"/>
            <w:r w:rsidRPr="008F5782">
              <w:rPr>
                <w:rFonts w:ascii="Arial" w:hAnsi="Arial" w:cs="Arial"/>
                <w:color w:val="010000"/>
                <w:sz w:val="20"/>
              </w:rPr>
              <w:t>Vinh</w:t>
            </w:r>
            <w:proofErr w:type="spellEnd"/>
            <w:r w:rsidRPr="008F5782">
              <w:rPr>
                <w:rFonts w:ascii="Arial" w:hAnsi="Arial" w:cs="Arial"/>
                <w:color w:val="010000"/>
                <w:sz w:val="20"/>
              </w:rPr>
              <w:t xml:space="preserve"> Nam</w:t>
            </w:r>
          </w:p>
        </w:tc>
      </w:tr>
    </w:tbl>
    <w:p w14:paraId="7F764815" w14:textId="77777777" w:rsidR="001E1724" w:rsidRPr="008F5782" w:rsidRDefault="00B646A4"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GoBack"/>
      <w:proofErr w:type="gramStart"/>
      <w:r w:rsidRPr="008F5782">
        <w:rPr>
          <w:rFonts w:ascii="Arial" w:hAnsi="Arial" w:cs="Arial"/>
          <w:color w:val="010000"/>
          <w:sz w:val="20"/>
        </w:rPr>
        <w:t>Article 10.</w:t>
      </w:r>
      <w:proofErr w:type="gramEnd"/>
      <w:r w:rsidRPr="008F5782">
        <w:rPr>
          <w:rFonts w:ascii="Arial" w:hAnsi="Arial" w:cs="Arial"/>
          <w:color w:val="010000"/>
          <w:sz w:val="20"/>
        </w:rPr>
        <w:t xml:space="preserve"> The Annual General Meeting of Shareholders 2024 authorizes the Board of Directors and the Supervisory Board of Viet Nam Steel Corporation to organize and supervise the implementation of the General Mandate.</w:t>
      </w:r>
    </w:p>
    <w:p w14:paraId="77B85432" w14:textId="77777777" w:rsidR="001E1724" w:rsidRPr="008F5782" w:rsidRDefault="00B646A4" w:rsidP="00BB3A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5782">
        <w:rPr>
          <w:rFonts w:ascii="Arial" w:hAnsi="Arial" w:cs="Arial"/>
          <w:color w:val="010000"/>
          <w:sz w:val="20"/>
        </w:rPr>
        <w:t>The Annual General Meeting of Shareholders 2024 approved the full text of the General Mandate 2024.</w:t>
      </w:r>
      <w:bookmarkEnd w:id="0"/>
    </w:p>
    <w:sectPr w:rsidR="001E1724" w:rsidRPr="008F5782" w:rsidSect="007D199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566"/>
    <w:multiLevelType w:val="multilevel"/>
    <w:tmpl w:val="6B2027CE"/>
    <w:lvl w:ilvl="0">
      <w:start w:val="1"/>
      <w:numFmt w:val="none"/>
      <w:lvlText w:val="d)"/>
      <w:lvlJc w:val="left"/>
      <w:pPr>
        <w:ind w:left="360" w:hanging="360"/>
      </w:pPr>
      <w:rPr>
        <w:rFonts w:hint="default"/>
        <w:b w:val="0"/>
        <w:i w:val="0"/>
        <w:sz w:val="20"/>
      </w:rPr>
    </w:lvl>
    <w:lvl w:ilvl="1">
      <w:start w:val="1"/>
      <w:numFmt w:val="lowerLetter"/>
      <w:lvlText w:val="%2)"/>
      <w:lvlJc w:val="left"/>
      <w:pPr>
        <w:ind w:left="720" w:hanging="360"/>
      </w:pPr>
      <w:rPr>
        <w:rFonts w:hint="default"/>
        <w:b w:val="0"/>
        <w:i w:val="0"/>
        <w:sz w:val="20"/>
      </w:rPr>
    </w:lvl>
    <w:lvl w:ilvl="2">
      <w:start w:val="1"/>
      <w:numFmt w:val="lowerRoman"/>
      <w:lvlText w:val="%3)"/>
      <w:lvlJc w:val="left"/>
      <w:pPr>
        <w:ind w:left="1080" w:hanging="360"/>
      </w:pPr>
      <w:rPr>
        <w:rFonts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66848D2"/>
    <w:multiLevelType w:val="multilevel"/>
    <w:tmpl w:val="BE08AB28"/>
    <w:lvl w:ilvl="0">
      <w:start w:val="1"/>
      <w:numFmt w:val="decimal"/>
      <w:lvlText w:val="%1."/>
      <w:lvlJc w:val="left"/>
      <w:pPr>
        <w:ind w:left="360" w:hanging="360"/>
      </w:pPr>
      <w:rPr>
        <w:b w:val="0"/>
        <w:i w:val="0"/>
        <w:smallCaps w:val="0"/>
        <w:strike w:val="0"/>
        <w:color w:val="000000"/>
        <w:sz w:val="20"/>
        <w:szCs w:val="20"/>
        <w:highlight w:val="white"/>
        <w:u w:val="none"/>
        <w:vertAlign w:val="baseline"/>
      </w:rPr>
    </w:lvl>
    <w:lvl w:ilvl="1">
      <w:start w:val="1"/>
      <w:numFmt w:val="decimal"/>
      <w:lvlText w:val="%1.%2."/>
      <w:lvlJc w:val="left"/>
      <w:pPr>
        <w:ind w:left="792" w:hanging="432"/>
      </w:pPr>
      <w:rPr>
        <w:b w:val="0"/>
        <w:i w:val="0"/>
        <w:smallCaps w:val="0"/>
        <w:strike w:val="0"/>
        <w:color w:val="000000"/>
        <w:sz w:val="20"/>
        <w:szCs w:val="20"/>
        <w:highlight w:val="white"/>
        <w:u w:val="none"/>
        <w:vertAlign w:val="baseline"/>
      </w:rPr>
    </w:lvl>
    <w:lvl w:ilvl="2">
      <w:start w:val="1"/>
      <w:numFmt w:val="decimal"/>
      <w:lvlText w:val="%1.%2.%3."/>
      <w:lvlJc w:val="left"/>
      <w:pPr>
        <w:ind w:left="1224" w:hanging="504"/>
      </w:pPr>
      <w:rPr>
        <w:b w:val="0"/>
        <w:i w:val="0"/>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B2B6F20"/>
    <w:multiLevelType w:val="multilevel"/>
    <w:tmpl w:val="DA823C3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C77307F"/>
    <w:multiLevelType w:val="multilevel"/>
    <w:tmpl w:val="4614FF7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FED7A16"/>
    <w:multiLevelType w:val="multilevel"/>
    <w:tmpl w:val="0730307E"/>
    <w:lvl w:ilvl="0">
      <w:start w:val="2"/>
      <w:numFmt w:val="decimal"/>
      <w:lvlText w:val="1.2.%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98C13BC"/>
    <w:multiLevelType w:val="multilevel"/>
    <w:tmpl w:val="9332931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B4F410D"/>
    <w:multiLevelType w:val="multilevel"/>
    <w:tmpl w:val="3124A5F8"/>
    <w:lvl w:ilvl="0">
      <w:start w:val="3"/>
      <w:numFmt w:val="decimal"/>
      <w:lvlText w:val="%1."/>
      <w:lvlJc w:val="left"/>
      <w:pPr>
        <w:ind w:left="360" w:hanging="360"/>
      </w:pPr>
      <w:rPr>
        <w:b w:val="0"/>
        <w:i w:val="0"/>
        <w:sz w:val="20"/>
      </w:rPr>
    </w:lvl>
    <w:lvl w:ilvl="1">
      <w:start w:val="1"/>
      <w:numFmt w:val="decimal"/>
      <w:lvlText w:val="%1.%2."/>
      <w:lvlJc w:val="left"/>
      <w:pPr>
        <w:ind w:left="792" w:hanging="432"/>
      </w:pPr>
      <w:rPr>
        <w:b w:val="0"/>
        <w:i w:val="0"/>
        <w:sz w:val="20"/>
      </w:rPr>
    </w:lvl>
    <w:lvl w:ilvl="2">
      <w:start w:val="1"/>
      <w:numFmt w:val="decimal"/>
      <w:lvlText w:val="%1.%2.%3."/>
      <w:lvlJc w:val="left"/>
      <w:pPr>
        <w:ind w:left="1224" w:hanging="504"/>
      </w:pPr>
      <w:rPr>
        <w:b w:val="0"/>
        <w:i w:val="0"/>
        <w:sz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FE92D4B"/>
    <w:multiLevelType w:val="multilevel"/>
    <w:tmpl w:val="4EF449B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1F25B60"/>
    <w:multiLevelType w:val="multilevel"/>
    <w:tmpl w:val="5FC2151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47E1427"/>
    <w:multiLevelType w:val="multilevel"/>
    <w:tmpl w:val="95D8001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9BF6A05"/>
    <w:multiLevelType w:val="multilevel"/>
    <w:tmpl w:val="289072C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9"/>
  </w:num>
  <w:num w:numId="3">
    <w:abstractNumId w:val="10"/>
  </w:num>
  <w:num w:numId="4">
    <w:abstractNumId w:val="3"/>
  </w:num>
  <w:num w:numId="5">
    <w:abstractNumId w:val="6"/>
  </w:num>
  <w:num w:numId="6">
    <w:abstractNumId w:val="5"/>
  </w:num>
  <w:num w:numId="7">
    <w:abstractNumId w:val="7"/>
  </w:num>
  <w:num w:numId="8">
    <w:abstractNumId w:val="8"/>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24"/>
    <w:rsid w:val="001E1724"/>
    <w:rsid w:val="007D1995"/>
    <w:rsid w:val="00865BF1"/>
    <w:rsid w:val="008F5782"/>
    <w:rsid w:val="00B646A4"/>
    <w:rsid w:val="00BB3A7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D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9"/>
      <w:szCs w:val="1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66" w:lineRule="auto"/>
      <w:ind w:firstLine="400"/>
    </w:pPr>
    <w:rPr>
      <w:rFonts w:ascii="Times New Roman" w:eastAsia="Times New Roman" w:hAnsi="Times New Roman" w:cs="Times New Roman"/>
      <w:sz w:val="28"/>
      <w:szCs w:val="28"/>
    </w:rPr>
  </w:style>
  <w:style w:type="paragraph" w:customStyle="1" w:styleId="Vnbnnidung30">
    <w:name w:val="Văn bản nội dung (3)"/>
    <w:basedOn w:val="Normal"/>
    <w:link w:val="Vnbnnidung3"/>
    <w:pPr>
      <w:spacing w:line="343" w:lineRule="auto"/>
      <w:ind w:left="790" w:firstLine="8140"/>
    </w:pPr>
    <w:rPr>
      <w:rFonts w:ascii="Arial" w:eastAsia="Arial" w:hAnsi="Arial" w:cs="Arial"/>
      <w:sz w:val="19"/>
      <w:szCs w:val="19"/>
    </w:rPr>
  </w:style>
  <w:style w:type="paragraph" w:customStyle="1" w:styleId="Tiu10">
    <w:name w:val="Tiêu đề #1"/>
    <w:basedOn w:val="Normal"/>
    <w:link w:val="Tiu1"/>
    <w:pPr>
      <w:spacing w:line="290" w:lineRule="auto"/>
      <w:ind w:left="1810" w:firstLine="290"/>
      <w:outlineLvl w:val="0"/>
    </w:pPr>
    <w:rPr>
      <w:rFonts w:ascii="Times New Roman" w:eastAsia="Times New Roman" w:hAnsi="Times New Roman" w:cs="Times New Roman"/>
      <w:b/>
      <w:bCs/>
      <w:sz w:val="26"/>
      <w:szCs w:val="26"/>
    </w:rPr>
  </w:style>
  <w:style w:type="paragraph" w:customStyle="1" w:styleId="Khc0">
    <w:name w:val="Khác"/>
    <w:basedOn w:val="Normal"/>
    <w:link w:val="Khc"/>
    <w:pPr>
      <w:spacing w:line="266" w:lineRule="auto"/>
      <w:ind w:firstLine="400"/>
    </w:pPr>
    <w:rPr>
      <w:rFonts w:ascii="Times New Roman" w:eastAsia="Times New Roman" w:hAnsi="Times New Roman" w:cs="Times New Roman"/>
      <w:sz w:val="28"/>
      <w:szCs w:val="28"/>
    </w:rPr>
  </w:style>
  <w:style w:type="paragraph" w:customStyle="1" w:styleId="Vnbnnidung40">
    <w:name w:val="Văn bản nội dung (4)"/>
    <w:basedOn w:val="Normal"/>
    <w:link w:val="Vnbnnidung4"/>
    <w:pPr>
      <w:jc w:val="right"/>
    </w:pPr>
    <w:rPr>
      <w:rFonts w:ascii="Arial" w:eastAsia="Arial" w:hAnsi="Arial" w:cs="Arial"/>
      <w:sz w:val="22"/>
      <w:szCs w:val="22"/>
    </w:rPr>
  </w:style>
  <w:style w:type="paragraph" w:customStyle="1" w:styleId="Vnbnnidung20">
    <w:name w:val="Văn bản nội dung (2)"/>
    <w:basedOn w:val="Normal"/>
    <w:link w:val="Vnbnnidung2"/>
    <w:pPr>
      <w:ind w:firstLine="180"/>
    </w:pPr>
    <w:rPr>
      <w:rFonts w:ascii="Times New Roman" w:eastAsia="Times New Roman" w:hAnsi="Times New Roman" w:cs="Times New Roman"/>
    </w:rPr>
  </w:style>
  <w:style w:type="character" w:customStyle="1" w:styleId="Chthchbng">
    <w:name w:val="Chú thích bảng_"/>
    <w:basedOn w:val="DefaultParagraphFont"/>
    <w:link w:val="Chthchbng0"/>
    <w:rsid w:val="00FC7E5D"/>
    <w:rPr>
      <w:rFonts w:ascii="Times New Roman" w:eastAsia="Times New Roman" w:hAnsi="Times New Roman" w:cs="Times New Roman"/>
      <w:b/>
      <w:bCs/>
      <w:i/>
      <w:iCs/>
      <w:sz w:val="28"/>
      <w:szCs w:val="28"/>
    </w:rPr>
  </w:style>
  <w:style w:type="paragraph" w:customStyle="1" w:styleId="Chthchbng0">
    <w:name w:val="Chú thích bảng"/>
    <w:basedOn w:val="Normal"/>
    <w:link w:val="Chthchbng"/>
    <w:rsid w:val="00FC7E5D"/>
    <w:rPr>
      <w:rFonts w:ascii="Times New Roman" w:eastAsia="Times New Roman" w:hAnsi="Times New Roman" w:cs="Times New Roman"/>
      <w:b/>
      <w:bCs/>
      <w:i/>
      <w:iCs/>
      <w:color w:val="auto"/>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7D1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9"/>
      <w:szCs w:val="1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66" w:lineRule="auto"/>
      <w:ind w:firstLine="400"/>
    </w:pPr>
    <w:rPr>
      <w:rFonts w:ascii="Times New Roman" w:eastAsia="Times New Roman" w:hAnsi="Times New Roman" w:cs="Times New Roman"/>
      <w:sz w:val="28"/>
      <w:szCs w:val="28"/>
    </w:rPr>
  </w:style>
  <w:style w:type="paragraph" w:customStyle="1" w:styleId="Vnbnnidung30">
    <w:name w:val="Văn bản nội dung (3)"/>
    <w:basedOn w:val="Normal"/>
    <w:link w:val="Vnbnnidung3"/>
    <w:pPr>
      <w:spacing w:line="343" w:lineRule="auto"/>
      <w:ind w:left="790" w:firstLine="8140"/>
    </w:pPr>
    <w:rPr>
      <w:rFonts w:ascii="Arial" w:eastAsia="Arial" w:hAnsi="Arial" w:cs="Arial"/>
      <w:sz w:val="19"/>
      <w:szCs w:val="19"/>
    </w:rPr>
  </w:style>
  <w:style w:type="paragraph" w:customStyle="1" w:styleId="Tiu10">
    <w:name w:val="Tiêu đề #1"/>
    <w:basedOn w:val="Normal"/>
    <w:link w:val="Tiu1"/>
    <w:pPr>
      <w:spacing w:line="290" w:lineRule="auto"/>
      <w:ind w:left="1810" w:firstLine="290"/>
      <w:outlineLvl w:val="0"/>
    </w:pPr>
    <w:rPr>
      <w:rFonts w:ascii="Times New Roman" w:eastAsia="Times New Roman" w:hAnsi="Times New Roman" w:cs="Times New Roman"/>
      <w:b/>
      <w:bCs/>
      <w:sz w:val="26"/>
      <w:szCs w:val="26"/>
    </w:rPr>
  </w:style>
  <w:style w:type="paragraph" w:customStyle="1" w:styleId="Khc0">
    <w:name w:val="Khác"/>
    <w:basedOn w:val="Normal"/>
    <w:link w:val="Khc"/>
    <w:pPr>
      <w:spacing w:line="266" w:lineRule="auto"/>
      <w:ind w:firstLine="400"/>
    </w:pPr>
    <w:rPr>
      <w:rFonts w:ascii="Times New Roman" w:eastAsia="Times New Roman" w:hAnsi="Times New Roman" w:cs="Times New Roman"/>
      <w:sz w:val="28"/>
      <w:szCs w:val="28"/>
    </w:rPr>
  </w:style>
  <w:style w:type="paragraph" w:customStyle="1" w:styleId="Vnbnnidung40">
    <w:name w:val="Văn bản nội dung (4)"/>
    <w:basedOn w:val="Normal"/>
    <w:link w:val="Vnbnnidung4"/>
    <w:pPr>
      <w:jc w:val="right"/>
    </w:pPr>
    <w:rPr>
      <w:rFonts w:ascii="Arial" w:eastAsia="Arial" w:hAnsi="Arial" w:cs="Arial"/>
      <w:sz w:val="22"/>
      <w:szCs w:val="22"/>
    </w:rPr>
  </w:style>
  <w:style w:type="paragraph" w:customStyle="1" w:styleId="Vnbnnidung20">
    <w:name w:val="Văn bản nội dung (2)"/>
    <w:basedOn w:val="Normal"/>
    <w:link w:val="Vnbnnidung2"/>
    <w:pPr>
      <w:ind w:firstLine="180"/>
    </w:pPr>
    <w:rPr>
      <w:rFonts w:ascii="Times New Roman" w:eastAsia="Times New Roman" w:hAnsi="Times New Roman" w:cs="Times New Roman"/>
    </w:rPr>
  </w:style>
  <w:style w:type="character" w:customStyle="1" w:styleId="Chthchbng">
    <w:name w:val="Chú thích bảng_"/>
    <w:basedOn w:val="DefaultParagraphFont"/>
    <w:link w:val="Chthchbng0"/>
    <w:rsid w:val="00FC7E5D"/>
    <w:rPr>
      <w:rFonts w:ascii="Times New Roman" w:eastAsia="Times New Roman" w:hAnsi="Times New Roman" w:cs="Times New Roman"/>
      <w:b/>
      <w:bCs/>
      <w:i/>
      <w:iCs/>
      <w:sz w:val="28"/>
      <w:szCs w:val="28"/>
    </w:rPr>
  </w:style>
  <w:style w:type="paragraph" w:customStyle="1" w:styleId="Chthchbng0">
    <w:name w:val="Chú thích bảng"/>
    <w:basedOn w:val="Normal"/>
    <w:link w:val="Chthchbng"/>
    <w:rsid w:val="00FC7E5D"/>
    <w:rPr>
      <w:rFonts w:ascii="Times New Roman" w:eastAsia="Times New Roman" w:hAnsi="Times New Roman" w:cs="Times New Roman"/>
      <w:b/>
      <w:bCs/>
      <w:i/>
      <w:iCs/>
      <w:color w:val="auto"/>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7D1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7731">
      <w:bodyDiv w:val="1"/>
      <w:marLeft w:val="0"/>
      <w:marRight w:val="0"/>
      <w:marTop w:val="0"/>
      <w:marBottom w:val="0"/>
      <w:divBdr>
        <w:top w:val="none" w:sz="0" w:space="0" w:color="auto"/>
        <w:left w:val="none" w:sz="0" w:space="0" w:color="auto"/>
        <w:bottom w:val="none" w:sz="0" w:space="0" w:color="auto"/>
        <w:right w:val="none" w:sz="0" w:space="0" w:color="auto"/>
      </w:divBdr>
      <w:divsChild>
        <w:div w:id="2075346047">
          <w:marLeft w:val="0"/>
          <w:marRight w:val="0"/>
          <w:marTop w:val="0"/>
          <w:marBottom w:val="0"/>
          <w:divBdr>
            <w:top w:val="none" w:sz="0" w:space="0" w:color="auto"/>
            <w:left w:val="none" w:sz="0" w:space="0" w:color="auto"/>
            <w:bottom w:val="none" w:sz="0" w:space="0" w:color="auto"/>
            <w:right w:val="none" w:sz="0" w:space="0" w:color="auto"/>
          </w:divBdr>
          <w:divsChild>
            <w:div w:id="1108548443">
              <w:marLeft w:val="0"/>
              <w:marRight w:val="0"/>
              <w:marTop w:val="0"/>
              <w:marBottom w:val="0"/>
              <w:divBdr>
                <w:top w:val="none" w:sz="0" w:space="0" w:color="auto"/>
                <w:left w:val="none" w:sz="0" w:space="0" w:color="auto"/>
                <w:bottom w:val="none" w:sz="0" w:space="0" w:color="auto"/>
                <w:right w:val="none" w:sz="0" w:space="0" w:color="auto"/>
              </w:divBdr>
              <w:divsChild>
                <w:div w:id="20785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l/qK9afvj2EtJM0eB7JqkrhnxQ==">CgMxLjA4AHIhMWhITlNVa0VDNlVfOUtOcTJCUnZNYjJzU3pkQ2daa2Et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1405</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2024-05-07T05:00:00Z</dcterms:created>
  <dcterms:modified xsi:type="dcterms:W3CDTF">2024-05-09T06:31:00Z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0c68a2052b7e7e2c012dbd6b062535aa4134762c46c663e88e7194bfa0f119e3</vt:lpwstr>
  </property>
</Properties>
</file>