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0DAB2" w14:textId="77777777" w:rsidR="00B56278" w:rsidRPr="000D1800" w:rsidRDefault="000D1800" w:rsidP="00CC4DDE">
      <w:pPr>
        <w:pBdr>
          <w:top w:val="nil"/>
          <w:left w:val="nil"/>
          <w:bottom w:val="nil"/>
          <w:right w:val="nil"/>
          <w:between w:val="nil"/>
        </w:pBdr>
        <w:tabs>
          <w:tab w:val="left" w:pos="432"/>
          <w:tab w:val="left" w:pos="6455"/>
        </w:tabs>
        <w:spacing w:after="120" w:line="360" w:lineRule="auto"/>
        <w:jc w:val="both"/>
        <w:rPr>
          <w:rFonts w:ascii="Arial" w:eastAsia="Arial" w:hAnsi="Arial" w:cs="Arial"/>
          <w:b/>
          <w:color w:val="010000"/>
          <w:sz w:val="20"/>
          <w:szCs w:val="20"/>
        </w:rPr>
      </w:pPr>
      <w:r>
        <w:rPr>
          <w:rFonts w:ascii="Arial" w:hAnsi="Arial"/>
          <w:b/>
          <w:color w:val="010000"/>
          <w:sz w:val="20"/>
        </w:rPr>
        <w:t>USD: Annual General Mandate 2024</w:t>
      </w:r>
    </w:p>
    <w:p w14:paraId="57C2D4E7" w14:textId="77777777" w:rsidR="00B56278" w:rsidRPr="000D1800" w:rsidRDefault="000D1800" w:rsidP="00CC4DD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26, 2024, </w:t>
      </w:r>
      <w:proofErr w:type="spellStart"/>
      <w:r>
        <w:rPr>
          <w:rFonts w:ascii="Arial" w:hAnsi="Arial"/>
          <w:color w:val="010000"/>
          <w:sz w:val="20"/>
        </w:rPr>
        <w:t>Soc</w:t>
      </w:r>
      <w:proofErr w:type="spellEnd"/>
      <w:r>
        <w:rPr>
          <w:rFonts w:ascii="Arial" w:hAnsi="Arial"/>
          <w:color w:val="010000"/>
          <w:sz w:val="20"/>
        </w:rPr>
        <w:t xml:space="preserve"> Trang Public Works Joint Stock Company announced General Mandate No. 01/NQ.DHDCD-CTDT as follows: </w:t>
      </w:r>
    </w:p>
    <w:p w14:paraId="686E7BE8" w14:textId="77777777" w:rsidR="00B56278" w:rsidRPr="000D1800" w:rsidRDefault="000D1800" w:rsidP="00CC4D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on the production and business results in 2023 and main targets of the production and business plan for 2024 as follows:</w:t>
      </w:r>
    </w:p>
    <w:p w14:paraId="719452E3" w14:textId="77777777" w:rsidR="00B56278" w:rsidRPr="000D1800" w:rsidRDefault="000D1800" w:rsidP="00CC4DDE">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and business results in 2023:</w:t>
      </w:r>
    </w:p>
    <w:tbl>
      <w:tblPr>
        <w:tblStyle w:val="a"/>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6"/>
        <w:gridCol w:w="5070"/>
        <w:gridCol w:w="3181"/>
      </w:tblGrid>
      <w:tr w:rsidR="00B56278" w:rsidRPr="000D1800" w14:paraId="0D75EF50" w14:textId="77777777" w:rsidTr="000D1800">
        <w:trPr>
          <w:jc w:val="right"/>
        </w:trPr>
        <w:tc>
          <w:tcPr>
            <w:tcW w:w="440" w:type="pct"/>
            <w:shd w:val="clear" w:color="auto" w:fill="auto"/>
            <w:tcMar>
              <w:top w:w="0" w:type="dxa"/>
              <w:bottom w:w="0" w:type="dxa"/>
            </w:tcMar>
            <w:vAlign w:val="center"/>
          </w:tcPr>
          <w:p w14:paraId="623CC5F9"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802" w:type="pct"/>
            <w:shd w:val="clear" w:color="auto" w:fill="auto"/>
            <w:tcMar>
              <w:top w:w="0" w:type="dxa"/>
              <w:bottom w:w="0" w:type="dxa"/>
            </w:tcMar>
            <w:vAlign w:val="center"/>
          </w:tcPr>
          <w:p w14:paraId="5083D6DE"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758" w:type="pct"/>
            <w:shd w:val="clear" w:color="auto" w:fill="auto"/>
            <w:tcMar>
              <w:top w:w="0" w:type="dxa"/>
              <w:bottom w:w="0" w:type="dxa"/>
            </w:tcMar>
            <w:vAlign w:val="center"/>
          </w:tcPr>
          <w:p w14:paraId="6CD6F4B0"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 (VND)</w:t>
            </w:r>
          </w:p>
        </w:tc>
      </w:tr>
      <w:tr w:rsidR="00B56278" w:rsidRPr="000D1800" w14:paraId="607AA736" w14:textId="77777777" w:rsidTr="000D1800">
        <w:trPr>
          <w:jc w:val="right"/>
        </w:trPr>
        <w:tc>
          <w:tcPr>
            <w:tcW w:w="440" w:type="pct"/>
            <w:shd w:val="clear" w:color="auto" w:fill="auto"/>
            <w:tcMar>
              <w:top w:w="0" w:type="dxa"/>
              <w:bottom w:w="0" w:type="dxa"/>
            </w:tcMar>
            <w:vAlign w:val="center"/>
          </w:tcPr>
          <w:p w14:paraId="006A8EC8"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02" w:type="pct"/>
            <w:shd w:val="clear" w:color="auto" w:fill="auto"/>
            <w:tcMar>
              <w:top w:w="0" w:type="dxa"/>
              <w:bottom w:w="0" w:type="dxa"/>
            </w:tcMar>
            <w:vAlign w:val="center"/>
          </w:tcPr>
          <w:p w14:paraId="12F44369"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 and income</w:t>
            </w:r>
          </w:p>
        </w:tc>
        <w:tc>
          <w:tcPr>
            <w:tcW w:w="1758" w:type="pct"/>
            <w:shd w:val="clear" w:color="auto" w:fill="auto"/>
            <w:tcMar>
              <w:top w:w="0" w:type="dxa"/>
              <w:bottom w:w="0" w:type="dxa"/>
            </w:tcMar>
            <w:vAlign w:val="center"/>
          </w:tcPr>
          <w:p w14:paraId="3FCAC1D4"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194,589,510,334</w:t>
            </w:r>
          </w:p>
        </w:tc>
      </w:tr>
      <w:tr w:rsidR="00B56278" w:rsidRPr="000D1800" w14:paraId="533EDB61" w14:textId="77777777" w:rsidTr="000D1800">
        <w:trPr>
          <w:jc w:val="right"/>
        </w:trPr>
        <w:tc>
          <w:tcPr>
            <w:tcW w:w="440" w:type="pct"/>
            <w:shd w:val="clear" w:color="auto" w:fill="auto"/>
            <w:tcMar>
              <w:top w:w="0" w:type="dxa"/>
              <w:bottom w:w="0" w:type="dxa"/>
            </w:tcMar>
            <w:vAlign w:val="center"/>
          </w:tcPr>
          <w:p w14:paraId="5C6DA5D2"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802" w:type="pct"/>
            <w:shd w:val="clear" w:color="auto" w:fill="auto"/>
            <w:tcMar>
              <w:top w:w="0" w:type="dxa"/>
              <w:bottom w:w="0" w:type="dxa"/>
            </w:tcMar>
            <w:vAlign w:val="center"/>
          </w:tcPr>
          <w:p w14:paraId="757F5602"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Total production and business, financial, and other expenses </w:t>
            </w:r>
          </w:p>
        </w:tc>
        <w:tc>
          <w:tcPr>
            <w:tcW w:w="1758" w:type="pct"/>
            <w:shd w:val="clear" w:color="auto" w:fill="auto"/>
            <w:tcMar>
              <w:top w:w="0" w:type="dxa"/>
              <w:bottom w:w="0" w:type="dxa"/>
            </w:tcMar>
            <w:vAlign w:val="center"/>
          </w:tcPr>
          <w:p w14:paraId="31137A12"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172,698,336,993</w:t>
            </w:r>
          </w:p>
        </w:tc>
      </w:tr>
      <w:tr w:rsidR="00B56278" w:rsidRPr="000D1800" w14:paraId="6D9F3C20" w14:textId="77777777" w:rsidTr="000D1800">
        <w:trPr>
          <w:jc w:val="right"/>
        </w:trPr>
        <w:tc>
          <w:tcPr>
            <w:tcW w:w="440" w:type="pct"/>
            <w:shd w:val="clear" w:color="auto" w:fill="auto"/>
            <w:tcMar>
              <w:top w:w="0" w:type="dxa"/>
              <w:bottom w:w="0" w:type="dxa"/>
            </w:tcMar>
            <w:vAlign w:val="center"/>
          </w:tcPr>
          <w:p w14:paraId="2D730616"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802" w:type="pct"/>
            <w:shd w:val="clear" w:color="auto" w:fill="auto"/>
            <w:tcMar>
              <w:top w:w="0" w:type="dxa"/>
              <w:bottom w:w="0" w:type="dxa"/>
            </w:tcMar>
            <w:vAlign w:val="center"/>
          </w:tcPr>
          <w:p w14:paraId="30BD3869"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profit from business activities</w:t>
            </w:r>
          </w:p>
        </w:tc>
        <w:tc>
          <w:tcPr>
            <w:tcW w:w="1758" w:type="pct"/>
            <w:shd w:val="clear" w:color="auto" w:fill="auto"/>
            <w:tcMar>
              <w:top w:w="0" w:type="dxa"/>
              <w:bottom w:w="0" w:type="dxa"/>
            </w:tcMar>
            <w:vAlign w:val="center"/>
          </w:tcPr>
          <w:p w14:paraId="6629D362"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21,889,573,506</w:t>
            </w:r>
          </w:p>
        </w:tc>
      </w:tr>
      <w:tr w:rsidR="00B56278" w:rsidRPr="000D1800" w14:paraId="70F86372" w14:textId="77777777" w:rsidTr="000D1800">
        <w:trPr>
          <w:jc w:val="right"/>
        </w:trPr>
        <w:tc>
          <w:tcPr>
            <w:tcW w:w="440" w:type="pct"/>
            <w:shd w:val="clear" w:color="auto" w:fill="auto"/>
            <w:tcMar>
              <w:top w:w="0" w:type="dxa"/>
              <w:bottom w:w="0" w:type="dxa"/>
            </w:tcMar>
            <w:vAlign w:val="center"/>
          </w:tcPr>
          <w:p w14:paraId="10D29C8D"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802" w:type="pct"/>
            <w:shd w:val="clear" w:color="auto" w:fill="auto"/>
            <w:tcMar>
              <w:top w:w="0" w:type="dxa"/>
              <w:bottom w:w="0" w:type="dxa"/>
            </w:tcMar>
            <w:vAlign w:val="center"/>
          </w:tcPr>
          <w:p w14:paraId="7ACC89B0"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758" w:type="pct"/>
            <w:shd w:val="clear" w:color="auto" w:fill="auto"/>
            <w:tcMar>
              <w:top w:w="0" w:type="dxa"/>
              <w:bottom w:w="0" w:type="dxa"/>
            </w:tcMar>
            <w:vAlign w:val="center"/>
          </w:tcPr>
          <w:p w14:paraId="13CB152F"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21,891,173,341</w:t>
            </w:r>
          </w:p>
        </w:tc>
      </w:tr>
      <w:tr w:rsidR="00B56278" w:rsidRPr="000D1800" w14:paraId="6EE49EC7" w14:textId="77777777" w:rsidTr="000D1800">
        <w:trPr>
          <w:jc w:val="right"/>
        </w:trPr>
        <w:tc>
          <w:tcPr>
            <w:tcW w:w="440" w:type="pct"/>
            <w:shd w:val="clear" w:color="auto" w:fill="auto"/>
            <w:tcMar>
              <w:top w:w="0" w:type="dxa"/>
              <w:bottom w:w="0" w:type="dxa"/>
            </w:tcMar>
            <w:vAlign w:val="center"/>
          </w:tcPr>
          <w:p w14:paraId="040BEF2C"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802" w:type="pct"/>
            <w:shd w:val="clear" w:color="auto" w:fill="auto"/>
            <w:tcMar>
              <w:top w:w="0" w:type="dxa"/>
              <w:bottom w:w="0" w:type="dxa"/>
            </w:tcMar>
            <w:vAlign w:val="center"/>
          </w:tcPr>
          <w:p w14:paraId="58E32E0B"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Current corporate income tax expense</w:t>
            </w:r>
          </w:p>
        </w:tc>
        <w:tc>
          <w:tcPr>
            <w:tcW w:w="1758" w:type="pct"/>
            <w:shd w:val="clear" w:color="auto" w:fill="auto"/>
            <w:tcMar>
              <w:top w:w="0" w:type="dxa"/>
              <w:bottom w:w="0" w:type="dxa"/>
            </w:tcMar>
            <w:vAlign w:val="center"/>
          </w:tcPr>
          <w:p w14:paraId="1E6A4BA4"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2,720,889,025</w:t>
            </w:r>
          </w:p>
        </w:tc>
      </w:tr>
      <w:tr w:rsidR="00B56278" w:rsidRPr="000D1800" w14:paraId="3EEB01E5" w14:textId="77777777" w:rsidTr="000D1800">
        <w:trPr>
          <w:jc w:val="right"/>
        </w:trPr>
        <w:tc>
          <w:tcPr>
            <w:tcW w:w="440" w:type="pct"/>
            <w:shd w:val="clear" w:color="auto" w:fill="auto"/>
            <w:tcMar>
              <w:top w:w="0" w:type="dxa"/>
              <w:bottom w:w="0" w:type="dxa"/>
            </w:tcMar>
            <w:vAlign w:val="center"/>
          </w:tcPr>
          <w:p w14:paraId="53AC2E14" w14:textId="77777777" w:rsidR="00B56278" w:rsidRPr="000D1800" w:rsidRDefault="00B56278" w:rsidP="000D1800">
            <w:pPr>
              <w:tabs>
                <w:tab w:val="left" w:pos="432"/>
              </w:tabs>
              <w:spacing w:after="120" w:line="360" w:lineRule="auto"/>
              <w:jc w:val="center"/>
              <w:rPr>
                <w:rFonts w:ascii="Arial" w:eastAsia="Arial" w:hAnsi="Arial" w:cs="Arial"/>
                <w:color w:val="010000"/>
                <w:sz w:val="20"/>
                <w:szCs w:val="20"/>
              </w:rPr>
            </w:pPr>
          </w:p>
        </w:tc>
        <w:tc>
          <w:tcPr>
            <w:tcW w:w="2802" w:type="pct"/>
            <w:shd w:val="clear" w:color="auto" w:fill="auto"/>
            <w:tcMar>
              <w:top w:w="0" w:type="dxa"/>
              <w:bottom w:w="0" w:type="dxa"/>
            </w:tcMar>
            <w:vAlign w:val="center"/>
          </w:tcPr>
          <w:p w14:paraId="0F70A3CA"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758" w:type="pct"/>
            <w:shd w:val="clear" w:color="auto" w:fill="auto"/>
            <w:tcMar>
              <w:top w:w="0" w:type="dxa"/>
              <w:bottom w:w="0" w:type="dxa"/>
            </w:tcMar>
            <w:vAlign w:val="center"/>
          </w:tcPr>
          <w:p w14:paraId="6F482CC9"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19,170,284,316</w:t>
            </w:r>
          </w:p>
        </w:tc>
      </w:tr>
    </w:tbl>
    <w:p w14:paraId="58B4972A" w14:textId="77777777" w:rsidR="00B56278" w:rsidRPr="000D1800" w:rsidRDefault="000D1800" w:rsidP="000D1800">
      <w:pPr>
        <w:numPr>
          <w:ilvl w:val="0"/>
          <w:numId w:val="9"/>
        </w:numPr>
        <w:pBdr>
          <w:top w:val="nil"/>
          <w:left w:val="nil"/>
          <w:bottom w:val="nil"/>
          <w:right w:val="nil"/>
          <w:between w:val="nil"/>
        </w:pBdr>
        <w:tabs>
          <w:tab w:val="left" w:pos="432"/>
          <w:tab w:val="left" w:pos="2762"/>
        </w:tabs>
        <w:spacing w:after="120" w:line="360" w:lineRule="auto"/>
        <w:jc w:val="both"/>
        <w:rPr>
          <w:rFonts w:ascii="Arial" w:eastAsia="Arial" w:hAnsi="Arial" w:cs="Arial"/>
          <w:color w:val="010000"/>
          <w:sz w:val="20"/>
          <w:szCs w:val="20"/>
        </w:rPr>
      </w:pPr>
      <w:r>
        <w:rPr>
          <w:rFonts w:ascii="Arial" w:hAnsi="Arial"/>
          <w:color w:val="010000"/>
          <w:sz w:val="20"/>
        </w:rPr>
        <w:t>Main targets of the production and business plan and the profit distribution, dividend payment plan in 2024:</w:t>
      </w:r>
    </w:p>
    <w:tbl>
      <w:tblPr>
        <w:tblStyle w:val="a0"/>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5"/>
        <w:gridCol w:w="5548"/>
        <w:gridCol w:w="2794"/>
      </w:tblGrid>
      <w:tr w:rsidR="00B56278" w:rsidRPr="000D1800" w14:paraId="2E5C85EB" w14:textId="77777777" w:rsidTr="000D1800">
        <w:trPr>
          <w:jc w:val="right"/>
        </w:trPr>
        <w:tc>
          <w:tcPr>
            <w:tcW w:w="390" w:type="pct"/>
            <w:shd w:val="clear" w:color="auto" w:fill="auto"/>
            <w:tcMar>
              <w:top w:w="0" w:type="dxa"/>
              <w:bottom w:w="0" w:type="dxa"/>
            </w:tcMar>
            <w:vAlign w:val="center"/>
          </w:tcPr>
          <w:p w14:paraId="23181275"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065" w:type="pct"/>
            <w:shd w:val="clear" w:color="auto" w:fill="auto"/>
            <w:tcMar>
              <w:top w:w="0" w:type="dxa"/>
              <w:bottom w:w="0" w:type="dxa"/>
            </w:tcMar>
            <w:vAlign w:val="center"/>
          </w:tcPr>
          <w:p w14:paraId="6D88D111"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544" w:type="pct"/>
            <w:shd w:val="clear" w:color="auto" w:fill="auto"/>
            <w:tcMar>
              <w:top w:w="0" w:type="dxa"/>
              <w:bottom w:w="0" w:type="dxa"/>
            </w:tcMar>
            <w:vAlign w:val="center"/>
          </w:tcPr>
          <w:p w14:paraId="34C96CB7"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 (VND)</w:t>
            </w:r>
          </w:p>
        </w:tc>
      </w:tr>
      <w:tr w:rsidR="00B56278" w:rsidRPr="000D1800" w14:paraId="13B2135C" w14:textId="77777777" w:rsidTr="000D1800">
        <w:trPr>
          <w:jc w:val="right"/>
        </w:trPr>
        <w:tc>
          <w:tcPr>
            <w:tcW w:w="390" w:type="pct"/>
            <w:shd w:val="clear" w:color="auto" w:fill="auto"/>
            <w:tcMar>
              <w:top w:w="0" w:type="dxa"/>
              <w:bottom w:w="0" w:type="dxa"/>
            </w:tcMar>
            <w:vAlign w:val="center"/>
          </w:tcPr>
          <w:p w14:paraId="2E8A4F41"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065" w:type="pct"/>
            <w:shd w:val="clear" w:color="auto" w:fill="auto"/>
            <w:tcMar>
              <w:top w:w="0" w:type="dxa"/>
              <w:bottom w:w="0" w:type="dxa"/>
            </w:tcMar>
            <w:vAlign w:val="center"/>
          </w:tcPr>
          <w:p w14:paraId="0B0F4403"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544" w:type="pct"/>
            <w:shd w:val="clear" w:color="auto" w:fill="auto"/>
            <w:tcMar>
              <w:top w:w="0" w:type="dxa"/>
              <w:bottom w:w="0" w:type="dxa"/>
            </w:tcMar>
            <w:vAlign w:val="center"/>
          </w:tcPr>
          <w:p w14:paraId="63B0E0EF"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206,488,150,109 </w:t>
            </w:r>
          </w:p>
        </w:tc>
      </w:tr>
      <w:tr w:rsidR="00B56278" w:rsidRPr="000D1800" w14:paraId="721B004A" w14:textId="77777777" w:rsidTr="000D1800">
        <w:trPr>
          <w:jc w:val="right"/>
        </w:trPr>
        <w:tc>
          <w:tcPr>
            <w:tcW w:w="390" w:type="pct"/>
            <w:shd w:val="clear" w:color="auto" w:fill="auto"/>
            <w:tcMar>
              <w:top w:w="0" w:type="dxa"/>
              <w:bottom w:w="0" w:type="dxa"/>
            </w:tcMar>
            <w:vAlign w:val="center"/>
          </w:tcPr>
          <w:p w14:paraId="319D5E6E"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065" w:type="pct"/>
            <w:shd w:val="clear" w:color="auto" w:fill="auto"/>
            <w:tcMar>
              <w:top w:w="0" w:type="dxa"/>
              <w:bottom w:w="0" w:type="dxa"/>
            </w:tcMar>
            <w:vAlign w:val="center"/>
          </w:tcPr>
          <w:p w14:paraId="7D3C69AA"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544" w:type="pct"/>
            <w:shd w:val="clear" w:color="auto" w:fill="auto"/>
            <w:tcMar>
              <w:top w:w="0" w:type="dxa"/>
              <w:bottom w:w="0" w:type="dxa"/>
            </w:tcMar>
            <w:vAlign w:val="center"/>
          </w:tcPr>
          <w:p w14:paraId="11AE9872"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22,713,000,000</w:t>
            </w:r>
          </w:p>
        </w:tc>
      </w:tr>
      <w:tr w:rsidR="00B56278" w:rsidRPr="000D1800" w14:paraId="3BC1DDAB" w14:textId="77777777" w:rsidTr="000D1800">
        <w:trPr>
          <w:jc w:val="right"/>
        </w:trPr>
        <w:tc>
          <w:tcPr>
            <w:tcW w:w="390" w:type="pct"/>
            <w:shd w:val="clear" w:color="auto" w:fill="auto"/>
            <w:tcMar>
              <w:top w:w="0" w:type="dxa"/>
              <w:bottom w:w="0" w:type="dxa"/>
            </w:tcMar>
            <w:vAlign w:val="center"/>
          </w:tcPr>
          <w:p w14:paraId="10E6FD8A"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065" w:type="pct"/>
            <w:shd w:val="clear" w:color="auto" w:fill="auto"/>
            <w:tcMar>
              <w:top w:w="0" w:type="dxa"/>
              <w:bottom w:w="0" w:type="dxa"/>
            </w:tcMar>
            <w:vAlign w:val="center"/>
          </w:tcPr>
          <w:p w14:paraId="089944EB"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544" w:type="pct"/>
            <w:shd w:val="clear" w:color="auto" w:fill="auto"/>
            <w:tcMar>
              <w:top w:w="0" w:type="dxa"/>
              <w:bottom w:w="0" w:type="dxa"/>
            </w:tcMar>
            <w:vAlign w:val="center"/>
          </w:tcPr>
          <w:p w14:paraId="7AF59E2B"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19,826,000,000</w:t>
            </w:r>
          </w:p>
        </w:tc>
      </w:tr>
      <w:tr w:rsidR="00B56278" w:rsidRPr="000D1800" w14:paraId="1B9955F2" w14:textId="77777777" w:rsidTr="000D1800">
        <w:trPr>
          <w:jc w:val="right"/>
        </w:trPr>
        <w:tc>
          <w:tcPr>
            <w:tcW w:w="390" w:type="pct"/>
            <w:shd w:val="clear" w:color="auto" w:fill="auto"/>
            <w:tcMar>
              <w:top w:w="0" w:type="dxa"/>
              <w:bottom w:w="0" w:type="dxa"/>
            </w:tcMar>
            <w:vAlign w:val="center"/>
          </w:tcPr>
          <w:p w14:paraId="1761C151"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065" w:type="pct"/>
            <w:shd w:val="clear" w:color="auto" w:fill="auto"/>
            <w:tcMar>
              <w:top w:w="0" w:type="dxa"/>
              <w:bottom w:w="0" w:type="dxa"/>
            </w:tcMar>
            <w:vAlign w:val="center"/>
          </w:tcPr>
          <w:p w14:paraId="1C41EBE3"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1544" w:type="pct"/>
            <w:shd w:val="clear" w:color="auto" w:fill="auto"/>
            <w:tcMar>
              <w:top w:w="0" w:type="dxa"/>
              <w:bottom w:w="0" w:type="dxa"/>
            </w:tcMar>
            <w:vAlign w:val="center"/>
          </w:tcPr>
          <w:p w14:paraId="2803246E"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9,746,000,000</w:t>
            </w:r>
          </w:p>
        </w:tc>
      </w:tr>
      <w:tr w:rsidR="00B56278" w:rsidRPr="000D1800" w14:paraId="5DC63947" w14:textId="77777777" w:rsidTr="000D1800">
        <w:trPr>
          <w:jc w:val="right"/>
        </w:trPr>
        <w:tc>
          <w:tcPr>
            <w:tcW w:w="390" w:type="pct"/>
            <w:shd w:val="clear" w:color="auto" w:fill="auto"/>
            <w:tcMar>
              <w:top w:w="0" w:type="dxa"/>
              <w:bottom w:w="0" w:type="dxa"/>
            </w:tcMar>
            <w:vAlign w:val="center"/>
          </w:tcPr>
          <w:p w14:paraId="6482F16A" w14:textId="77777777" w:rsidR="00B56278" w:rsidRPr="000D1800" w:rsidRDefault="00B56278" w:rsidP="000D1800">
            <w:pPr>
              <w:tabs>
                <w:tab w:val="left" w:pos="432"/>
              </w:tabs>
              <w:spacing w:after="120" w:line="360" w:lineRule="auto"/>
              <w:jc w:val="center"/>
              <w:rPr>
                <w:rFonts w:ascii="Arial" w:eastAsia="Arial" w:hAnsi="Arial" w:cs="Arial"/>
                <w:color w:val="010000"/>
                <w:sz w:val="20"/>
                <w:szCs w:val="20"/>
              </w:rPr>
            </w:pPr>
          </w:p>
        </w:tc>
        <w:tc>
          <w:tcPr>
            <w:tcW w:w="3065" w:type="pct"/>
            <w:shd w:val="clear" w:color="auto" w:fill="auto"/>
            <w:tcMar>
              <w:top w:w="0" w:type="dxa"/>
              <w:bottom w:w="0" w:type="dxa"/>
            </w:tcMar>
            <w:vAlign w:val="center"/>
          </w:tcPr>
          <w:p w14:paraId="0E745ACF" w14:textId="77777777" w:rsidR="00B56278" w:rsidRPr="000D1800" w:rsidRDefault="000D1800" w:rsidP="000D1800">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Investment and Development fund.</w:t>
            </w:r>
          </w:p>
        </w:tc>
        <w:tc>
          <w:tcPr>
            <w:tcW w:w="1544" w:type="pct"/>
            <w:shd w:val="clear" w:color="auto" w:fill="auto"/>
            <w:tcMar>
              <w:top w:w="0" w:type="dxa"/>
              <w:bottom w:w="0" w:type="dxa"/>
            </w:tcMar>
            <w:vAlign w:val="center"/>
          </w:tcPr>
          <w:p w14:paraId="20CC6EE0"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991,300,000</w:t>
            </w:r>
          </w:p>
        </w:tc>
      </w:tr>
      <w:tr w:rsidR="00B56278" w:rsidRPr="000D1800" w14:paraId="1DE66601" w14:textId="77777777" w:rsidTr="000D1800">
        <w:trPr>
          <w:jc w:val="right"/>
        </w:trPr>
        <w:tc>
          <w:tcPr>
            <w:tcW w:w="390" w:type="pct"/>
            <w:shd w:val="clear" w:color="auto" w:fill="auto"/>
            <w:tcMar>
              <w:top w:w="0" w:type="dxa"/>
              <w:bottom w:w="0" w:type="dxa"/>
            </w:tcMar>
            <w:vAlign w:val="center"/>
          </w:tcPr>
          <w:p w14:paraId="18903196" w14:textId="77777777" w:rsidR="00B56278" w:rsidRPr="000D1800" w:rsidRDefault="00B56278" w:rsidP="000D1800">
            <w:pPr>
              <w:tabs>
                <w:tab w:val="left" w:pos="432"/>
              </w:tabs>
              <w:spacing w:after="120" w:line="360" w:lineRule="auto"/>
              <w:jc w:val="center"/>
              <w:rPr>
                <w:rFonts w:ascii="Arial" w:eastAsia="Arial" w:hAnsi="Arial" w:cs="Arial"/>
                <w:color w:val="010000"/>
                <w:sz w:val="20"/>
                <w:szCs w:val="20"/>
              </w:rPr>
            </w:pPr>
          </w:p>
        </w:tc>
        <w:tc>
          <w:tcPr>
            <w:tcW w:w="3065" w:type="pct"/>
            <w:shd w:val="clear" w:color="auto" w:fill="auto"/>
            <w:tcMar>
              <w:top w:w="0" w:type="dxa"/>
              <w:bottom w:w="0" w:type="dxa"/>
            </w:tcMar>
            <w:vAlign w:val="center"/>
          </w:tcPr>
          <w:p w14:paraId="6ECB0455" w14:textId="77777777" w:rsidR="00B56278" w:rsidRPr="000D1800" w:rsidRDefault="000D1800" w:rsidP="000D1800">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Other funds from owner’s equity</w:t>
            </w:r>
          </w:p>
        </w:tc>
        <w:tc>
          <w:tcPr>
            <w:tcW w:w="1544" w:type="pct"/>
            <w:shd w:val="clear" w:color="auto" w:fill="auto"/>
            <w:tcMar>
              <w:top w:w="0" w:type="dxa"/>
              <w:bottom w:w="0" w:type="dxa"/>
            </w:tcMar>
            <w:vAlign w:val="center"/>
          </w:tcPr>
          <w:p w14:paraId="7D721D99"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991,300,000</w:t>
            </w:r>
          </w:p>
        </w:tc>
      </w:tr>
      <w:tr w:rsidR="00B56278" w:rsidRPr="000D1800" w14:paraId="0F760559" w14:textId="77777777" w:rsidTr="000D1800">
        <w:trPr>
          <w:jc w:val="right"/>
        </w:trPr>
        <w:tc>
          <w:tcPr>
            <w:tcW w:w="390" w:type="pct"/>
            <w:shd w:val="clear" w:color="auto" w:fill="auto"/>
            <w:tcMar>
              <w:top w:w="0" w:type="dxa"/>
              <w:bottom w:w="0" w:type="dxa"/>
            </w:tcMar>
            <w:vAlign w:val="center"/>
          </w:tcPr>
          <w:p w14:paraId="2AE3EBBD" w14:textId="77777777" w:rsidR="00B56278" w:rsidRPr="000D1800" w:rsidRDefault="00B56278" w:rsidP="000D1800">
            <w:pPr>
              <w:tabs>
                <w:tab w:val="left" w:pos="432"/>
              </w:tabs>
              <w:spacing w:after="120" w:line="360" w:lineRule="auto"/>
              <w:jc w:val="center"/>
              <w:rPr>
                <w:rFonts w:ascii="Arial" w:eastAsia="Arial" w:hAnsi="Arial" w:cs="Arial"/>
                <w:color w:val="010000"/>
                <w:sz w:val="20"/>
                <w:szCs w:val="20"/>
              </w:rPr>
            </w:pPr>
          </w:p>
        </w:tc>
        <w:tc>
          <w:tcPr>
            <w:tcW w:w="3065" w:type="pct"/>
            <w:shd w:val="clear" w:color="auto" w:fill="auto"/>
            <w:tcMar>
              <w:top w:w="0" w:type="dxa"/>
              <w:bottom w:w="0" w:type="dxa"/>
            </w:tcMar>
            <w:vAlign w:val="center"/>
          </w:tcPr>
          <w:p w14:paraId="04D76E0E" w14:textId="77777777" w:rsidR="00B56278" w:rsidRPr="000D1800" w:rsidRDefault="000D1800" w:rsidP="000D1800">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Bonus fund for the Executive Board</w:t>
            </w:r>
          </w:p>
        </w:tc>
        <w:tc>
          <w:tcPr>
            <w:tcW w:w="1544" w:type="pct"/>
            <w:shd w:val="clear" w:color="auto" w:fill="auto"/>
            <w:tcMar>
              <w:top w:w="0" w:type="dxa"/>
              <w:bottom w:w="0" w:type="dxa"/>
            </w:tcMar>
            <w:vAlign w:val="center"/>
          </w:tcPr>
          <w:p w14:paraId="57A5D1FF"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991,300,000</w:t>
            </w:r>
          </w:p>
        </w:tc>
      </w:tr>
      <w:tr w:rsidR="00B56278" w:rsidRPr="000D1800" w14:paraId="4CDCAB0B" w14:textId="77777777" w:rsidTr="000D1800">
        <w:trPr>
          <w:jc w:val="right"/>
        </w:trPr>
        <w:tc>
          <w:tcPr>
            <w:tcW w:w="390" w:type="pct"/>
            <w:shd w:val="clear" w:color="auto" w:fill="auto"/>
            <w:tcMar>
              <w:top w:w="0" w:type="dxa"/>
              <w:bottom w:w="0" w:type="dxa"/>
            </w:tcMar>
            <w:vAlign w:val="center"/>
          </w:tcPr>
          <w:p w14:paraId="3DB7D56A" w14:textId="77777777" w:rsidR="00B56278" w:rsidRPr="000D1800" w:rsidRDefault="00B56278" w:rsidP="000D1800">
            <w:pPr>
              <w:tabs>
                <w:tab w:val="left" w:pos="432"/>
              </w:tabs>
              <w:spacing w:after="120" w:line="360" w:lineRule="auto"/>
              <w:jc w:val="center"/>
              <w:rPr>
                <w:rFonts w:ascii="Arial" w:eastAsia="Arial" w:hAnsi="Arial" w:cs="Arial"/>
                <w:color w:val="010000"/>
                <w:sz w:val="20"/>
                <w:szCs w:val="20"/>
              </w:rPr>
            </w:pPr>
          </w:p>
        </w:tc>
        <w:tc>
          <w:tcPr>
            <w:tcW w:w="3065" w:type="pct"/>
            <w:shd w:val="clear" w:color="auto" w:fill="auto"/>
            <w:tcMar>
              <w:top w:w="0" w:type="dxa"/>
              <w:bottom w:w="0" w:type="dxa"/>
            </w:tcMar>
            <w:vAlign w:val="center"/>
          </w:tcPr>
          <w:p w14:paraId="5083122F" w14:textId="77777777" w:rsidR="00B56278" w:rsidRPr="000D1800" w:rsidRDefault="000D1800" w:rsidP="000D1800">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Bonus and welfare fund</w:t>
            </w:r>
          </w:p>
        </w:tc>
        <w:tc>
          <w:tcPr>
            <w:tcW w:w="1544" w:type="pct"/>
            <w:shd w:val="clear" w:color="auto" w:fill="auto"/>
            <w:tcMar>
              <w:top w:w="0" w:type="dxa"/>
              <w:bottom w:w="0" w:type="dxa"/>
            </w:tcMar>
            <w:vAlign w:val="center"/>
          </w:tcPr>
          <w:p w14:paraId="4F5D6446"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6,772,100,000</w:t>
            </w:r>
          </w:p>
        </w:tc>
      </w:tr>
      <w:tr w:rsidR="00B56278" w:rsidRPr="000D1800" w14:paraId="18A25F00" w14:textId="77777777" w:rsidTr="000D1800">
        <w:trPr>
          <w:jc w:val="right"/>
        </w:trPr>
        <w:tc>
          <w:tcPr>
            <w:tcW w:w="390" w:type="pct"/>
            <w:shd w:val="clear" w:color="auto" w:fill="auto"/>
            <w:tcMar>
              <w:top w:w="0" w:type="dxa"/>
              <w:bottom w:w="0" w:type="dxa"/>
            </w:tcMar>
            <w:vAlign w:val="center"/>
          </w:tcPr>
          <w:p w14:paraId="489AA820"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065" w:type="pct"/>
            <w:shd w:val="clear" w:color="auto" w:fill="auto"/>
            <w:tcMar>
              <w:top w:w="0" w:type="dxa"/>
              <w:bottom w:w="0" w:type="dxa"/>
            </w:tcMar>
            <w:vAlign w:val="center"/>
          </w:tcPr>
          <w:p w14:paraId="7030B960"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w:t>
            </w:r>
          </w:p>
        </w:tc>
        <w:tc>
          <w:tcPr>
            <w:tcW w:w="1544" w:type="pct"/>
            <w:shd w:val="clear" w:color="auto" w:fill="auto"/>
            <w:tcMar>
              <w:top w:w="0" w:type="dxa"/>
              <w:bottom w:w="0" w:type="dxa"/>
            </w:tcMar>
            <w:vAlign w:val="center"/>
          </w:tcPr>
          <w:p w14:paraId="18448B58"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10,080,000,000</w:t>
            </w:r>
          </w:p>
        </w:tc>
      </w:tr>
      <w:tr w:rsidR="00B56278" w:rsidRPr="000D1800" w14:paraId="18DBD8F2" w14:textId="77777777" w:rsidTr="000D1800">
        <w:trPr>
          <w:jc w:val="right"/>
        </w:trPr>
        <w:tc>
          <w:tcPr>
            <w:tcW w:w="390" w:type="pct"/>
            <w:shd w:val="clear" w:color="auto" w:fill="auto"/>
            <w:tcMar>
              <w:top w:w="0" w:type="dxa"/>
              <w:bottom w:w="0" w:type="dxa"/>
            </w:tcMar>
            <w:vAlign w:val="center"/>
          </w:tcPr>
          <w:p w14:paraId="28234709"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065" w:type="pct"/>
            <w:shd w:val="clear" w:color="auto" w:fill="auto"/>
            <w:tcMar>
              <w:top w:w="0" w:type="dxa"/>
              <w:bottom w:w="0" w:type="dxa"/>
            </w:tcMar>
            <w:vAlign w:val="center"/>
          </w:tcPr>
          <w:p w14:paraId="6C68FB69"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rate (%)</w:t>
            </w:r>
          </w:p>
        </w:tc>
        <w:tc>
          <w:tcPr>
            <w:tcW w:w="1544" w:type="pct"/>
            <w:shd w:val="clear" w:color="auto" w:fill="auto"/>
            <w:tcMar>
              <w:top w:w="0" w:type="dxa"/>
              <w:bottom w:w="0" w:type="dxa"/>
            </w:tcMar>
            <w:vAlign w:val="center"/>
          </w:tcPr>
          <w:p w14:paraId="1281CE81"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w:t>
            </w:r>
          </w:p>
        </w:tc>
      </w:tr>
    </w:tbl>
    <w:p w14:paraId="451E8A97" w14:textId="77777777" w:rsidR="00B56278" w:rsidRPr="000D1800" w:rsidRDefault="000D1800" w:rsidP="00CC4D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assigns the Board of Directors to direct the implementation of the Production and Business Plan for 2024, approved by the General Meeting of Shareholders, decide to adjust some targets according to the actual situation of the Company (when necessary), and report to the shareholders at the next General Meeting of Shareholders.</w:t>
      </w:r>
    </w:p>
    <w:p w14:paraId="3FB7920E" w14:textId="77777777" w:rsidR="00B56278" w:rsidRPr="000D1800" w:rsidRDefault="000D1800" w:rsidP="00CC4D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‎‎Article 2. Approve the Report on the results of investment projects in 2023 and investment orientations for 2024</w:t>
      </w:r>
    </w:p>
    <w:p w14:paraId="006AFCB4" w14:textId="77777777" w:rsidR="00B56278" w:rsidRPr="000D1800" w:rsidRDefault="000D1800" w:rsidP="00CC4D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Company continues to implement the unfinished and unrealized projects in 2023, including:</w:t>
      </w:r>
    </w:p>
    <w:p w14:paraId="236D4229" w14:textId="77777777" w:rsidR="00B56278" w:rsidRPr="000D1800" w:rsidRDefault="000D1800" w:rsidP="00CC4DDE">
      <w:pPr>
        <w:numPr>
          <w:ilvl w:val="0"/>
          <w:numId w:val="10"/>
        </w:numPr>
        <w:pBdr>
          <w:top w:val="nil"/>
          <w:left w:val="nil"/>
          <w:bottom w:val="nil"/>
          <w:right w:val="nil"/>
          <w:between w:val="nil"/>
        </w:pBdr>
        <w:tabs>
          <w:tab w:val="left" w:pos="432"/>
          <w:tab w:val="left" w:pos="2752"/>
        </w:tabs>
        <w:spacing w:after="120" w:line="360" w:lineRule="auto"/>
        <w:jc w:val="both"/>
        <w:rPr>
          <w:rFonts w:ascii="Arial" w:eastAsia="Arial" w:hAnsi="Arial" w:cs="Arial"/>
          <w:color w:val="010000"/>
          <w:sz w:val="20"/>
          <w:szCs w:val="20"/>
        </w:rPr>
      </w:pPr>
      <w:r>
        <w:rPr>
          <w:rFonts w:ascii="Arial" w:hAnsi="Arial"/>
          <w:color w:val="010000"/>
          <w:sz w:val="20"/>
        </w:rPr>
        <w:t>Group of projects invested by the Company when the Provincial People’s Committee call for investment:</w:t>
      </w:r>
    </w:p>
    <w:p w14:paraId="318FDE49" w14:textId="77777777" w:rsidR="00B56278" w:rsidRPr="000D1800" w:rsidRDefault="000D1800" w:rsidP="00CC4DDE">
      <w:pPr>
        <w:numPr>
          <w:ilvl w:val="0"/>
          <w:numId w:val="1"/>
        </w:numPr>
        <w:pBdr>
          <w:top w:val="nil"/>
          <w:left w:val="nil"/>
          <w:bottom w:val="nil"/>
          <w:right w:val="nil"/>
          <w:between w:val="nil"/>
        </w:pBdr>
        <w:tabs>
          <w:tab w:val="left" w:pos="432"/>
          <w:tab w:val="left" w:pos="2779"/>
        </w:tabs>
        <w:spacing w:after="120" w:line="360" w:lineRule="auto"/>
        <w:jc w:val="both"/>
        <w:rPr>
          <w:rFonts w:ascii="Arial" w:eastAsia="Arial" w:hAnsi="Arial" w:cs="Arial"/>
          <w:color w:val="010000"/>
          <w:sz w:val="20"/>
          <w:szCs w:val="20"/>
        </w:rPr>
      </w:pPr>
      <w:r>
        <w:rPr>
          <w:rFonts w:ascii="Arial" w:hAnsi="Arial"/>
          <w:color w:val="010000"/>
          <w:sz w:val="20"/>
        </w:rPr>
        <w:t xml:space="preserve">Investment project to construct waste transfer station in </w:t>
      </w:r>
      <w:proofErr w:type="spellStart"/>
      <w:r>
        <w:rPr>
          <w:rFonts w:ascii="Arial" w:hAnsi="Arial"/>
          <w:color w:val="010000"/>
          <w:sz w:val="20"/>
        </w:rPr>
        <w:t>Soc</w:t>
      </w:r>
      <w:proofErr w:type="spellEnd"/>
      <w:r>
        <w:rPr>
          <w:rFonts w:ascii="Arial" w:hAnsi="Arial"/>
          <w:color w:val="010000"/>
          <w:sz w:val="20"/>
        </w:rPr>
        <w:t xml:space="preserve"> Trang City.</w:t>
      </w:r>
    </w:p>
    <w:p w14:paraId="774F6F1F" w14:textId="77777777" w:rsidR="00B56278" w:rsidRPr="000D1800" w:rsidRDefault="000D1800" w:rsidP="00CC4DDE">
      <w:pPr>
        <w:numPr>
          <w:ilvl w:val="0"/>
          <w:numId w:val="1"/>
        </w:numPr>
        <w:pBdr>
          <w:top w:val="nil"/>
          <w:left w:val="nil"/>
          <w:bottom w:val="nil"/>
          <w:right w:val="nil"/>
          <w:between w:val="nil"/>
        </w:pBdr>
        <w:tabs>
          <w:tab w:val="left" w:pos="432"/>
          <w:tab w:val="left" w:pos="2790"/>
        </w:tabs>
        <w:spacing w:after="120" w:line="360" w:lineRule="auto"/>
        <w:jc w:val="both"/>
        <w:rPr>
          <w:rFonts w:ascii="Arial" w:eastAsia="Arial" w:hAnsi="Arial" w:cs="Arial"/>
          <w:color w:val="010000"/>
          <w:sz w:val="20"/>
          <w:szCs w:val="20"/>
        </w:rPr>
      </w:pPr>
      <w:r>
        <w:rPr>
          <w:rFonts w:ascii="Arial" w:hAnsi="Arial"/>
          <w:color w:val="010000"/>
          <w:sz w:val="20"/>
        </w:rPr>
        <w:t xml:space="preserve">Investment project to construct waste treatment technology in </w:t>
      </w:r>
      <w:proofErr w:type="spellStart"/>
      <w:r>
        <w:rPr>
          <w:rFonts w:ascii="Arial" w:hAnsi="Arial"/>
          <w:color w:val="010000"/>
          <w:sz w:val="20"/>
        </w:rPr>
        <w:t>Vinh</w:t>
      </w:r>
      <w:proofErr w:type="spellEnd"/>
      <w:r>
        <w:rPr>
          <w:rFonts w:ascii="Arial" w:hAnsi="Arial"/>
          <w:color w:val="010000"/>
          <w:sz w:val="20"/>
        </w:rPr>
        <w:t xml:space="preserve"> Chau town.</w:t>
      </w:r>
    </w:p>
    <w:p w14:paraId="3D66DD3A" w14:textId="77777777" w:rsidR="00B56278" w:rsidRPr="000D1800" w:rsidRDefault="000D1800" w:rsidP="00CC4DDE">
      <w:pPr>
        <w:numPr>
          <w:ilvl w:val="0"/>
          <w:numId w:val="10"/>
        </w:numPr>
        <w:pBdr>
          <w:top w:val="nil"/>
          <w:left w:val="nil"/>
          <w:bottom w:val="nil"/>
          <w:right w:val="nil"/>
          <w:between w:val="nil"/>
        </w:pBdr>
        <w:tabs>
          <w:tab w:val="left" w:pos="432"/>
          <w:tab w:val="left" w:pos="2752"/>
        </w:tabs>
        <w:spacing w:after="120" w:line="360" w:lineRule="auto"/>
        <w:jc w:val="both"/>
        <w:rPr>
          <w:rFonts w:ascii="Arial" w:eastAsia="Arial" w:hAnsi="Arial" w:cs="Arial"/>
          <w:color w:val="010000"/>
          <w:sz w:val="20"/>
          <w:szCs w:val="20"/>
        </w:rPr>
      </w:pPr>
      <w:r>
        <w:rPr>
          <w:rFonts w:ascii="Arial" w:hAnsi="Arial"/>
          <w:color w:val="010000"/>
          <w:sz w:val="20"/>
        </w:rPr>
        <w:t>Group of projects invested by the Company to expand production and business:</w:t>
      </w:r>
    </w:p>
    <w:p w14:paraId="2E41DDF3" w14:textId="77777777" w:rsidR="00B56278" w:rsidRPr="000D1800" w:rsidRDefault="000D1800" w:rsidP="00CC4DDE">
      <w:pPr>
        <w:numPr>
          <w:ilvl w:val="0"/>
          <w:numId w:val="2"/>
        </w:numPr>
        <w:pBdr>
          <w:top w:val="nil"/>
          <w:left w:val="nil"/>
          <w:bottom w:val="nil"/>
          <w:right w:val="nil"/>
          <w:between w:val="nil"/>
        </w:pBdr>
        <w:tabs>
          <w:tab w:val="left" w:pos="432"/>
          <w:tab w:val="left" w:pos="2779"/>
        </w:tabs>
        <w:spacing w:after="120" w:line="360" w:lineRule="auto"/>
        <w:jc w:val="both"/>
        <w:rPr>
          <w:rFonts w:ascii="Arial" w:eastAsia="Arial" w:hAnsi="Arial" w:cs="Arial"/>
          <w:color w:val="010000"/>
          <w:sz w:val="20"/>
          <w:szCs w:val="20"/>
        </w:rPr>
      </w:pPr>
      <w:r>
        <w:rPr>
          <w:rFonts w:ascii="Arial" w:hAnsi="Arial"/>
          <w:color w:val="010000"/>
          <w:sz w:val="20"/>
        </w:rPr>
        <w:t xml:space="preserve">Investment project to construct </w:t>
      </w:r>
      <w:proofErr w:type="spellStart"/>
      <w:r>
        <w:rPr>
          <w:rFonts w:ascii="Arial" w:hAnsi="Arial"/>
          <w:color w:val="010000"/>
          <w:sz w:val="20"/>
        </w:rPr>
        <w:t>Soc</w:t>
      </w:r>
      <w:proofErr w:type="spellEnd"/>
      <w:r>
        <w:rPr>
          <w:rFonts w:ascii="Arial" w:hAnsi="Arial"/>
          <w:color w:val="010000"/>
          <w:sz w:val="20"/>
        </w:rPr>
        <w:t xml:space="preserve"> Trang Paradise Cemetery (phase 2).</w:t>
      </w:r>
    </w:p>
    <w:p w14:paraId="2FEC91FD" w14:textId="77777777" w:rsidR="00B56278" w:rsidRPr="000D1800" w:rsidRDefault="000D1800" w:rsidP="00CC4DDE">
      <w:pPr>
        <w:numPr>
          <w:ilvl w:val="0"/>
          <w:numId w:val="2"/>
        </w:numPr>
        <w:pBdr>
          <w:top w:val="nil"/>
          <w:left w:val="nil"/>
          <w:bottom w:val="nil"/>
          <w:right w:val="nil"/>
          <w:between w:val="nil"/>
        </w:pBdr>
        <w:tabs>
          <w:tab w:val="left" w:pos="432"/>
          <w:tab w:val="left" w:pos="2796"/>
        </w:tabs>
        <w:spacing w:after="120" w:line="360" w:lineRule="auto"/>
        <w:jc w:val="both"/>
        <w:rPr>
          <w:rFonts w:ascii="Arial" w:eastAsia="Arial" w:hAnsi="Arial" w:cs="Arial"/>
          <w:color w:val="010000"/>
          <w:sz w:val="20"/>
          <w:szCs w:val="20"/>
        </w:rPr>
      </w:pPr>
      <w:r>
        <w:rPr>
          <w:rFonts w:ascii="Arial" w:hAnsi="Arial"/>
          <w:color w:val="010000"/>
          <w:sz w:val="20"/>
        </w:rPr>
        <w:t xml:space="preserve">Investment project in arboretum of </w:t>
      </w:r>
      <w:proofErr w:type="spellStart"/>
      <w:r>
        <w:rPr>
          <w:rFonts w:ascii="Arial" w:hAnsi="Arial"/>
          <w:color w:val="010000"/>
          <w:sz w:val="20"/>
        </w:rPr>
        <w:t>Soc</w:t>
      </w:r>
      <w:proofErr w:type="spellEnd"/>
      <w:r>
        <w:rPr>
          <w:rFonts w:ascii="Arial" w:hAnsi="Arial"/>
          <w:color w:val="010000"/>
          <w:sz w:val="20"/>
        </w:rPr>
        <w:t xml:space="preserve"> Trang City.</w:t>
      </w:r>
    </w:p>
    <w:p w14:paraId="21A9612B" w14:textId="69F05CE1" w:rsidR="00B56278" w:rsidRPr="000D1800" w:rsidRDefault="000D1800" w:rsidP="00CC4DDE">
      <w:pPr>
        <w:numPr>
          <w:ilvl w:val="0"/>
          <w:numId w:val="2"/>
        </w:numPr>
        <w:pBdr>
          <w:top w:val="nil"/>
          <w:left w:val="nil"/>
          <w:bottom w:val="nil"/>
          <w:right w:val="nil"/>
          <w:between w:val="nil"/>
        </w:pBdr>
        <w:tabs>
          <w:tab w:val="left" w:pos="432"/>
          <w:tab w:val="left" w:pos="2796"/>
        </w:tabs>
        <w:spacing w:after="120" w:line="360" w:lineRule="auto"/>
        <w:jc w:val="both"/>
        <w:rPr>
          <w:rFonts w:ascii="Arial" w:eastAsia="Arial" w:hAnsi="Arial" w:cs="Arial"/>
          <w:color w:val="010000"/>
          <w:sz w:val="20"/>
          <w:szCs w:val="20"/>
        </w:rPr>
      </w:pPr>
      <w:r>
        <w:rPr>
          <w:rFonts w:ascii="Arial" w:hAnsi="Arial"/>
          <w:color w:val="010000"/>
          <w:sz w:val="20"/>
        </w:rPr>
        <w:t>investment project in the construction of Industrial waste (hazardous and non-hazardous)</w:t>
      </w:r>
    </w:p>
    <w:p w14:paraId="7A016252" w14:textId="77777777" w:rsidR="00B56278" w:rsidRPr="000D1800" w:rsidRDefault="000D1800" w:rsidP="00CC4D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directs the Board of Directors to continue to implement unfinished and unrealized projects of 2023. Organize and approve each project according to authority and decide to adjust some contents according to the actual situation of the Company (when necessary), report to shareholders at the next General Meeting of Shareholders.</w:t>
      </w:r>
    </w:p>
    <w:p w14:paraId="2225CA5E" w14:textId="77777777" w:rsidR="00B56278" w:rsidRPr="000D1800" w:rsidRDefault="000D1800" w:rsidP="00CC4D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Audited Consolidated Financial Statements 2023 and the profit distribution and dividend payment plan for 2023 as follows:</w:t>
      </w:r>
    </w:p>
    <w:p w14:paraId="1ED14541" w14:textId="77777777" w:rsidR="00B56278" w:rsidRPr="000D1800" w:rsidRDefault="000D1800" w:rsidP="00CC4DDE">
      <w:pPr>
        <w:numPr>
          <w:ilvl w:val="0"/>
          <w:numId w:val="3"/>
        </w:numPr>
        <w:pBdr>
          <w:top w:val="nil"/>
          <w:left w:val="nil"/>
          <w:bottom w:val="nil"/>
          <w:right w:val="nil"/>
          <w:between w:val="nil"/>
        </w:pBdr>
        <w:tabs>
          <w:tab w:val="left" w:pos="432"/>
          <w:tab w:val="left" w:pos="2763"/>
        </w:tabs>
        <w:spacing w:after="120" w:line="360" w:lineRule="auto"/>
        <w:jc w:val="both"/>
        <w:rPr>
          <w:rFonts w:ascii="Arial" w:eastAsia="Arial" w:hAnsi="Arial" w:cs="Arial"/>
          <w:color w:val="010000"/>
          <w:sz w:val="20"/>
          <w:szCs w:val="20"/>
        </w:rPr>
      </w:pPr>
      <w:r>
        <w:rPr>
          <w:rFonts w:ascii="Arial" w:hAnsi="Arial"/>
          <w:color w:val="010000"/>
          <w:sz w:val="20"/>
        </w:rPr>
        <w:t xml:space="preserve">The Audited Consolidated Financial Statements 2023 according to Report No. 4.0055/24/TC-AC dated February 28, 2024 of A&amp;C Auditing and Consulting Company Limited - Can </w:t>
      </w:r>
      <w:proofErr w:type="spellStart"/>
      <w:r>
        <w:rPr>
          <w:rFonts w:ascii="Arial" w:hAnsi="Arial"/>
          <w:color w:val="010000"/>
          <w:sz w:val="20"/>
        </w:rPr>
        <w:t>Tho</w:t>
      </w:r>
      <w:proofErr w:type="spellEnd"/>
      <w:r>
        <w:rPr>
          <w:rFonts w:ascii="Arial" w:hAnsi="Arial"/>
          <w:color w:val="010000"/>
          <w:sz w:val="20"/>
        </w:rPr>
        <w:t xml:space="preserve"> Branch</w:t>
      </w:r>
    </w:p>
    <w:p w14:paraId="5D5A7E91" w14:textId="77777777" w:rsidR="00B56278" w:rsidRPr="000D1800" w:rsidRDefault="000D1800" w:rsidP="00CC4DDE">
      <w:pPr>
        <w:numPr>
          <w:ilvl w:val="0"/>
          <w:numId w:val="3"/>
        </w:numPr>
        <w:pBdr>
          <w:top w:val="nil"/>
          <w:left w:val="nil"/>
          <w:bottom w:val="nil"/>
          <w:right w:val="nil"/>
          <w:between w:val="nil"/>
        </w:pBdr>
        <w:tabs>
          <w:tab w:val="left" w:pos="432"/>
          <w:tab w:val="left" w:pos="2768"/>
        </w:tabs>
        <w:spacing w:after="120" w:line="360" w:lineRule="auto"/>
        <w:jc w:val="both"/>
        <w:rPr>
          <w:rFonts w:ascii="Arial" w:eastAsia="Arial" w:hAnsi="Arial" w:cs="Arial"/>
          <w:color w:val="010000"/>
          <w:sz w:val="20"/>
          <w:szCs w:val="20"/>
        </w:rPr>
      </w:pPr>
      <w:r>
        <w:rPr>
          <w:rFonts w:ascii="Arial" w:hAnsi="Arial"/>
          <w:color w:val="010000"/>
          <w:sz w:val="20"/>
        </w:rPr>
        <w:t>Plan on profit distribution and dividend payment in 2023:</w:t>
      </w:r>
    </w:p>
    <w:p w14:paraId="73B6641A" w14:textId="77777777" w:rsidR="00B56278" w:rsidRPr="000D1800" w:rsidRDefault="000D1800" w:rsidP="00CC4D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profit after tax in 2023 was VND 19,170,284,316, distributed as follows:</w:t>
      </w:r>
    </w:p>
    <w:tbl>
      <w:tblPr>
        <w:tblStyle w:val="a1"/>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3"/>
        <w:gridCol w:w="6094"/>
        <w:gridCol w:w="2200"/>
      </w:tblGrid>
      <w:tr w:rsidR="00B56278" w:rsidRPr="000D1800" w14:paraId="1617D37B" w14:textId="77777777" w:rsidTr="000D1800">
        <w:trPr>
          <w:jc w:val="right"/>
        </w:trPr>
        <w:tc>
          <w:tcPr>
            <w:tcW w:w="416" w:type="pct"/>
            <w:shd w:val="clear" w:color="auto" w:fill="auto"/>
            <w:tcMar>
              <w:top w:w="0" w:type="dxa"/>
              <w:bottom w:w="0" w:type="dxa"/>
            </w:tcMar>
            <w:vAlign w:val="center"/>
          </w:tcPr>
          <w:p w14:paraId="372B3B12"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368" w:type="pct"/>
            <w:shd w:val="clear" w:color="auto" w:fill="auto"/>
            <w:tcMar>
              <w:top w:w="0" w:type="dxa"/>
              <w:bottom w:w="0" w:type="dxa"/>
            </w:tcMar>
            <w:vAlign w:val="center"/>
          </w:tcPr>
          <w:p w14:paraId="108604AC"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216" w:type="pct"/>
            <w:shd w:val="clear" w:color="auto" w:fill="auto"/>
            <w:tcMar>
              <w:top w:w="0" w:type="dxa"/>
              <w:bottom w:w="0" w:type="dxa"/>
            </w:tcMar>
            <w:vAlign w:val="center"/>
          </w:tcPr>
          <w:p w14:paraId="006DF9E1"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 (VND)</w:t>
            </w:r>
          </w:p>
        </w:tc>
      </w:tr>
      <w:tr w:rsidR="00B56278" w:rsidRPr="000D1800" w14:paraId="47D1F620" w14:textId="77777777" w:rsidTr="000D1800">
        <w:trPr>
          <w:jc w:val="right"/>
        </w:trPr>
        <w:tc>
          <w:tcPr>
            <w:tcW w:w="416" w:type="pct"/>
            <w:shd w:val="clear" w:color="auto" w:fill="auto"/>
            <w:tcMar>
              <w:top w:w="0" w:type="dxa"/>
              <w:bottom w:w="0" w:type="dxa"/>
            </w:tcMar>
            <w:vAlign w:val="center"/>
          </w:tcPr>
          <w:p w14:paraId="2B18C5A4"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368" w:type="pct"/>
            <w:shd w:val="clear" w:color="auto" w:fill="auto"/>
            <w:tcMar>
              <w:top w:w="0" w:type="dxa"/>
              <w:bottom w:w="0" w:type="dxa"/>
            </w:tcMar>
            <w:vAlign w:val="center"/>
          </w:tcPr>
          <w:p w14:paraId="7062ED25"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Distributed profit after tax</w:t>
            </w:r>
          </w:p>
        </w:tc>
        <w:tc>
          <w:tcPr>
            <w:tcW w:w="1216" w:type="pct"/>
            <w:shd w:val="clear" w:color="auto" w:fill="auto"/>
            <w:tcMar>
              <w:top w:w="0" w:type="dxa"/>
              <w:bottom w:w="0" w:type="dxa"/>
            </w:tcMar>
            <w:vAlign w:val="center"/>
          </w:tcPr>
          <w:p w14:paraId="1E308E5B"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19,170,284,316</w:t>
            </w:r>
          </w:p>
        </w:tc>
      </w:tr>
      <w:tr w:rsidR="00B56278" w:rsidRPr="000D1800" w14:paraId="36ED38C7" w14:textId="77777777" w:rsidTr="000D1800">
        <w:trPr>
          <w:jc w:val="right"/>
        </w:trPr>
        <w:tc>
          <w:tcPr>
            <w:tcW w:w="416" w:type="pct"/>
            <w:shd w:val="clear" w:color="auto" w:fill="auto"/>
            <w:tcMar>
              <w:top w:w="0" w:type="dxa"/>
              <w:bottom w:w="0" w:type="dxa"/>
            </w:tcMar>
            <w:vAlign w:val="center"/>
          </w:tcPr>
          <w:p w14:paraId="5CDC04E3"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368" w:type="pct"/>
            <w:shd w:val="clear" w:color="auto" w:fill="auto"/>
            <w:tcMar>
              <w:top w:w="0" w:type="dxa"/>
              <w:bottom w:w="0" w:type="dxa"/>
            </w:tcMar>
            <w:vAlign w:val="center"/>
          </w:tcPr>
          <w:p w14:paraId="7FB45B71"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1216" w:type="pct"/>
            <w:shd w:val="clear" w:color="auto" w:fill="auto"/>
            <w:tcMar>
              <w:top w:w="0" w:type="dxa"/>
              <w:bottom w:w="0" w:type="dxa"/>
            </w:tcMar>
            <w:vAlign w:val="center"/>
          </w:tcPr>
          <w:p w14:paraId="4524FC3B"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9,090,284,316</w:t>
            </w:r>
          </w:p>
        </w:tc>
      </w:tr>
      <w:tr w:rsidR="00B56278" w:rsidRPr="000D1800" w14:paraId="39B804B5" w14:textId="77777777" w:rsidTr="000D1800">
        <w:trPr>
          <w:jc w:val="right"/>
        </w:trPr>
        <w:tc>
          <w:tcPr>
            <w:tcW w:w="416" w:type="pct"/>
            <w:shd w:val="clear" w:color="auto" w:fill="auto"/>
            <w:tcMar>
              <w:top w:w="0" w:type="dxa"/>
              <w:bottom w:w="0" w:type="dxa"/>
            </w:tcMar>
            <w:vAlign w:val="center"/>
          </w:tcPr>
          <w:p w14:paraId="45A7FFDC" w14:textId="77777777" w:rsidR="00B56278" w:rsidRPr="000D1800" w:rsidRDefault="00B56278" w:rsidP="000D1800">
            <w:pPr>
              <w:tabs>
                <w:tab w:val="left" w:pos="432"/>
              </w:tabs>
              <w:spacing w:after="120" w:line="360" w:lineRule="auto"/>
              <w:jc w:val="center"/>
              <w:rPr>
                <w:rFonts w:ascii="Arial" w:eastAsia="Arial" w:hAnsi="Arial" w:cs="Arial"/>
                <w:color w:val="010000"/>
                <w:sz w:val="20"/>
                <w:szCs w:val="20"/>
              </w:rPr>
            </w:pPr>
          </w:p>
        </w:tc>
        <w:tc>
          <w:tcPr>
            <w:tcW w:w="3368" w:type="pct"/>
            <w:shd w:val="clear" w:color="auto" w:fill="auto"/>
            <w:tcMar>
              <w:top w:w="0" w:type="dxa"/>
              <w:bottom w:w="0" w:type="dxa"/>
            </w:tcMar>
            <w:vAlign w:val="center"/>
          </w:tcPr>
          <w:p w14:paraId="590F8565" w14:textId="77777777" w:rsidR="00B56278" w:rsidRPr="000D1800" w:rsidRDefault="000D1800" w:rsidP="000D1800">
            <w:pPr>
              <w:pStyle w:val="ListParagraph"/>
              <w:numPr>
                <w:ilvl w:val="0"/>
                <w:numId w:val="12"/>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Investment and Development fund.</w:t>
            </w:r>
          </w:p>
        </w:tc>
        <w:tc>
          <w:tcPr>
            <w:tcW w:w="1216" w:type="pct"/>
            <w:shd w:val="clear" w:color="auto" w:fill="auto"/>
            <w:tcMar>
              <w:top w:w="0" w:type="dxa"/>
              <w:bottom w:w="0" w:type="dxa"/>
            </w:tcMar>
            <w:vAlign w:val="center"/>
          </w:tcPr>
          <w:p w14:paraId="437D51CD"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958,514,216</w:t>
            </w:r>
          </w:p>
        </w:tc>
      </w:tr>
      <w:tr w:rsidR="00B56278" w:rsidRPr="000D1800" w14:paraId="36818194" w14:textId="77777777" w:rsidTr="000D1800">
        <w:trPr>
          <w:jc w:val="right"/>
        </w:trPr>
        <w:tc>
          <w:tcPr>
            <w:tcW w:w="416" w:type="pct"/>
            <w:shd w:val="clear" w:color="auto" w:fill="auto"/>
            <w:tcMar>
              <w:top w:w="0" w:type="dxa"/>
              <w:bottom w:w="0" w:type="dxa"/>
            </w:tcMar>
            <w:vAlign w:val="center"/>
          </w:tcPr>
          <w:p w14:paraId="6399686C" w14:textId="77777777" w:rsidR="00B56278" w:rsidRPr="000D1800" w:rsidRDefault="00B56278" w:rsidP="000D1800">
            <w:pPr>
              <w:tabs>
                <w:tab w:val="left" w:pos="432"/>
              </w:tabs>
              <w:spacing w:after="120" w:line="360" w:lineRule="auto"/>
              <w:jc w:val="center"/>
              <w:rPr>
                <w:rFonts w:ascii="Arial" w:eastAsia="Arial" w:hAnsi="Arial" w:cs="Arial"/>
                <w:color w:val="010000"/>
                <w:sz w:val="20"/>
                <w:szCs w:val="20"/>
              </w:rPr>
            </w:pPr>
          </w:p>
        </w:tc>
        <w:tc>
          <w:tcPr>
            <w:tcW w:w="3368" w:type="pct"/>
            <w:shd w:val="clear" w:color="auto" w:fill="auto"/>
            <w:tcMar>
              <w:top w:w="0" w:type="dxa"/>
              <w:bottom w:w="0" w:type="dxa"/>
            </w:tcMar>
            <w:vAlign w:val="center"/>
          </w:tcPr>
          <w:p w14:paraId="0F47DAD1" w14:textId="77777777" w:rsidR="00B56278" w:rsidRPr="000D1800" w:rsidRDefault="000D1800" w:rsidP="000D1800">
            <w:pPr>
              <w:pStyle w:val="ListParagraph"/>
              <w:numPr>
                <w:ilvl w:val="0"/>
                <w:numId w:val="12"/>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Other funds from owner’s equity</w:t>
            </w:r>
          </w:p>
        </w:tc>
        <w:tc>
          <w:tcPr>
            <w:tcW w:w="1216" w:type="pct"/>
            <w:shd w:val="clear" w:color="auto" w:fill="auto"/>
            <w:tcMar>
              <w:top w:w="0" w:type="dxa"/>
              <w:bottom w:w="0" w:type="dxa"/>
            </w:tcMar>
            <w:vAlign w:val="center"/>
          </w:tcPr>
          <w:p w14:paraId="52A246C3"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958,514,216</w:t>
            </w:r>
          </w:p>
        </w:tc>
      </w:tr>
      <w:tr w:rsidR="00B56278" w:rsidRPr="000D1800" w14:paraId="471E772E" w14:textId="77777777" w:rsidTr="000D1800">
        <w:trPr>
          <w:jc w:val="right"/>
        </w:trPr>
        <w:tc>
          <w:tcPr>
            <w:tcW w:w="416" w:type="pct"/>
            <w:shd w:val="clear" w:color="auto" w:fill="auto"/>
            <w:tcMar>
              <w:top w:w="0" w:type="dxa"/>
              <w:bottom w:w="0" w:type="dxa"/>
            </w:tcMar>
            <w:vAlign w:val="center"/>
          </w:tcPr>
          <w:p w14:paraId="2154E355" w14:textId="77777777" w:rsidR="00B56278" w:rsidRPr="000D1800" w:rsidRDefault="00B56278" w:rsidP="000D1800">
            <w:pPr>
              <w:tabs>
                <w:tab w:val="left" w:pos="432"/>
              </w:tabs>
              <w:spacing w:after="120" w:line="360" w:lineRule="auto"/>
              <w:jc w:val="center"/>
              <w:rPr>
                <w:rFonts w:ascii="Arial" w:eastAsia="Arial" w:hAnsi="Arial" w:cs="Arial"/>
                <w:color w:val="010000"/>
                <w:sz w:val="20"/>
                <w:szCs w:val="20"/>
              </w:rPr>
            </w:pPr>
          </w:p>
        </w:tc>
        <w:tc>
          <w:tcPr>
            <w:tcW w:w="3368" w:type="pct"/>
            <w:shd w:val="clear" w:color="auto" w:fill="auto"/>
            <w:tcMar>
              <w:top w:w="0" w:type="dxa"/>
              <w:bottom w:w="0" w:type="dxa"/>
            </w:tcMar>
            <w:vAlign w:val="center"/>
          </w:tcPr>
          <w:p w14:paraId="50A2022E" w14:textId="77777777" w:rsidR="00B56278" w:rsidRPr="000D1800" w:rsidRDefault="000D1800" w:rsidP="000D1800">
            <w:pPr>
              <w:pStyle w:val="ListParagraph"/>
              <w:numPr>
                <w:ilvl w:val="0"/>
                <w:numId w:val="12"/>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Bonus fund for the Executive Board</w:t>
            </w:r>
          </w:p>
        </w:tc>
        <w:tc>
          <w:tcPr>
            <w:tcW w:w="1216" w:type="pct"/>
            <w:shd w:val="clear" w:color="auto" w:fill="auto"/>
            <w:tcMar>
              <w:top w:w="0" w:type="dxa"/>
              <w:bottom w:w="0" w:type="dxa"/>
            </w:tcMar>
            <w:vAlign w:val="center"/>
          </w:tcPr>
          <w:p w14:paraId="723A716E"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958,514,216</w:t>
            </w:r>
          </w:p>
        </w:tc>
      </w:tr>
      <w:tr w:rsidR="00B56278" w:rsidRPr="000D1800" w14:paraId="703A5772" w14:textId="77777777" w:rsidTr="000D1800">
        <w:trPr>
          <w:jc w:val="right"/>
        </w:trPr>
        <w:tc>
          <w:tcPr>
            <w:tcW w:w="416" w:type="pct"/>
            <w:shd w:val="clear" w:color="auto" w:fill="auto"/>
            <w:tcMar>
              <w:top w:w="0" w:type="dxa"/>
              <w:bottom w:w="0" w:type="dxa"/>
            </w:tcMar>
            <w:vAlign w:val="center"/>
          </w:tcPr>
          <w:p w14:paraId="76CF010A" w14:textId="77777777" w:rsidR="00B56278" w:rsidRPr="000D1800" w:rsidRDefault="00B56278" w:rsidP="000D1800">
            <w:pPr>
              <w:tabs>
                <w:tab w:val="left" w:pos="432"/>
              </w:tabs>
              <w:spacing w:after="120" w:line="360" w:lineRule="auto"/>
              <w:jc w:val="center"/>
              <w:rPr>
                <w:rFonts w:ascii="Arial" w:eastAsia="Arial" w:hAnsi="Arial" w:cs="Arial"/>
                <w:color w:val="010000"/>
                <w:sz w:val="20"/>
                <w:szCs w:val="20"/>
              </w:rPr>
            </w:pPr>
          </w:p>
        </w:tc>
        <w:tc>
          <w:tcPr>
            <w:tcW w:w="3368" w:type="pct"/>
            <w:shd w:val="clear" w:color="auto" w:fill="auto"/>
            <w:tcMar>
              <w:top w:w="0" w:type="dxa"/>
              <w:bottom w:w="0" w:type="dxa"/>
            </w:tcMar>
            <w:vAlign w:val="center"/>
          </w:tcPr>
          <w:p w14:paraId="7E67DAF5" w14:textId="77777777" w:rsidR="00B56278" w:rsidRPr="000D1800" w:rsidRDefault="000D1800" w:rsidP="000D1800">
            <w:pPr>
              <w:pStyle w:val="ListParagraph"/>
              <w:numPr>
                <w:ilvl w:val="0"/>
                <w:numId w:val="12"/>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Bonus and welfare fund</w:t>
            </w:r>
          </w:p>
        </w:tc>
        <w:tc>
          <w:tcPr>
            <w:tcW w:w="1216" w:type="pct"/>
            <w:shd w:val="clear" w:color="auto" w:fill="auto"/>
            <w:tcMar>
              <w:top w:w="0" w:type="dxa"/>
              <w:bottom w:w="0" w:type="dxa"/>
            </w:tcMar>
            <w:vAlign w:val="center"/>
          </w:tcPr>
          <w:p w14:paraId="7147F2CB"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6,214,741,668</w:t>
            </w:r>
          </w:p>
        </w:tc>
      </w:tr>
      <w:tr w:rsidR="00B56278" w:rsidRPr="000D1800" w14:paraId="2E8CCC90" w14:textId="77777777" w:rsidTr="000D1800">
        <w:trPr>
          <w:jc w:val="right"/>
        </w:trPr>
        <w:tc>
          <w:tcPr>
            <w:tcW w:w="416" w:type="pct"/>
            <w:shd w:val="clear" w:color="auto" w:fill="auto"/>
            <w:tcMar>
              <w:top w:w="0" w:type="dxa"/>
              <w:bottom w:w="0" w:type="dxa"/>
            </w:tcMar>
            <w:vAlign w:val="center"/>
          </w:tcPr>
          <w:p w14:paraId="09399A71"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368" w:type="pct"/>
            <w:shd w:val="clear" w:color="auto" w:fill="auto"/>
            <w:tcMar>
              <w:top w:w="0" w:type="dxa"/>
              <w:bottom w:w="0" w:type="dxa"/>
            </w:tcMar>
            <w:vAlign w:val="center"/>
          </w:tcPr>
          <w:p w14:paraId="01E6956E"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(18%)</w:t>
            </w:r>
          </w:p>
        </w:tc>
        <w:tc>
          <w:tcPr>
            <w:tcW w:w="1216" w:type="pct"/>
            <w:shd w:val="clear" w:color="auto" w:fill="auto"/>
            <w:tcMar>
              <w:top w:w="0" w:type="dxa"/>
              <w:bottom w:w="0" w:type="dxa"/>
            </w:tcMar>
            <w:vAlign w:val="center"/>
          </w:tcPr>
          <w:p w14:paraId="05FF4F2B"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10,080,000,000</w:t>
            </w:r>
          </w:p>
        </w:tc>
      </w:tr>
      <w:tr w:rsidR="00B56278" w:rsidRPr="000D1800" w14:paraId="69061CAD" w14:textId="77777777" w:rsidTr="000D1800">
        <w:trPr>
          <w:jc w:val="right"/>
        </w:trPr>
        <w:tc>
          <w:tcPr>
            <w:tcW w:w="416" w:type="pct"/>
            <w:shd w:val="clear" w:color="auto" w:fill="auto"/>
            <w:tcMar>
              <w:top w:w="0" w:type="dxa"/>
              <w:bottom w:w="0" w:type="dxa"/>
            </w:tcMar>
            <w:vAlign w:val="center"/>
          </w:tcPr>
          <w:p w14:paraId="6A9073A9"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368" w:type="pct"/>
            <w:shd w:val="clear" w:color="auto" w:fill="auto"/>
            <w:tcMar>
              <w:top w:w="0" w:type="dxa"/>
              <w:bottom w:w="0" w:type="dxa"/>
            </w:tcMar>
            <w:vAlign w:val="center"/>
          </w:tcPr>
          <w:p w14:paraId="42B216AA"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undistributed profit</w:t>
            </w:r>
          </w:p>
        </w:tc>
        <w:tc>
          <w:tcPr>
            <w:tcW w:w="1216" w:type="pct"/>
            <w:shd w:val="clear" w:color="auto" w:fill="auto"/>
            <w:tcMar>
              <w:top w:w="0" w:type="dxa"/>
              <w:bottom w:w="0" w:type="dxa"/>
            </w:tcMar>
            <w:vAlign w:val="center"/>
          </w:tcPr>
          <w:p w14:paraId="451C4815"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bl>
    <w:p w14:paraId="2A870AE4" w14:textId="77777777" w:rsidR="00B56278" w:rsidRPr="000D1800" w:rsidRDefault="000D1800" w:rsidP="00CC4D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assigns the Board of Directors to direct the implementation of the appropriation of funds, determine the time (expected payment on June 28, 2024) and procedures </w:t>
      </w:r>
      <w:r>
        <w:rPr>
          <w:rFonts w:ascii="Arial" w:hAnsi="Arial"/>
          <w:color w:val="010000"/>
          <w:sz w:val="20"/>
        </w:rPr>
        <w:lastRenderedPageBreak/>
        <w:t>for paying dividends in cash in 2023 to shareholders in accordance with the provisions of law and the Company’s Charter.</w:t>
      </w:r>
    </w:p>
    <w:p w14:paraId="19B991D7" w14:textId="77777777" w:rsidR="00B56278" w:rsidRPr="000D1800" w:rsidRDefault="000D1800" w:rsidP="00CC4D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Realized Salary Report for Business Executives in 2023; Report on the settlement of salary and remuneration for members of the Board of Directors and the Supervisory Board in 2023; the remuneration Plan for members of the Board of Directors and the Supervisory Board in 2024 as follows:</w:t>
      </w:r>
    </w:p>
    <w:p w14:paraId="7F1CA3BE" w14:textId="77777777" w:rsidR="00B56278" w:rsidRPr="000D1800" w:rsidRDefault="000D1800" w:rsidP="00CC4DDE">
      <w:pPr>
        <w:numPr>
          <w:ilvl w:val="0"/>
          <w:numId w:val="4"/>
        </w:numPr>
        <w:pBdr>
          <w:top w:val="nil"/>
          <w:left w:val="nil"/>
          <w:bottom w:val="nil"/>
          <w:right w:val="nil"/>
          <w:between w:val="nil"/>
        </w:pBdr>
        <w:tabs>
          <w:tab w:val="left" w:pos="432"/>
          <w:tab w:val="left" w:pos="2724"/>
        </w:tabs>
        <w:spacing w:after="120" w:line="360" w:lineRule="auto"/>
        <w:jc w:val="both"/>
        <w:rPr>
          <w:rFonts w:ascii="Arial" w:eastAsia="Arial" w:hAnsi="Arial" w:cs="Arial"/>
          <w:color w:val="010000"/>
          <w:sz w:val="20"/>
          <w:szCs w:val="20"/>
        </w:rPr>
      </w:pPr>
      <w:r>
        <w:rPr>
          <w:rFonts w:ascii="Arial" w:hAnsi="Arial"/>
          <w:color w:val="010000"/>
          <w:sz w:val="20"/>
        </w:rPr>
        <w:t>Realized salary for Business Executives in 2023:</w:t>
      </w:r>
    </w:p>
    <w:p w14:paraId="08C2AA89" w14:textId="77777777" w:rsidR="00B56278" w:rsidRPr="000D1800" w:rsidRDefault="000D1800" w:rsidP="00CC4DDE">
      <w:pPr>
        <w:numPr>
          <w:ilvl w:val="0"/>
          <w:numId w:val="8"/>
        </w:numPr>
        <w:pBdr>
          <w:top w:val="nil"/>
          <w:left w:val="nil"/>
          <w:bottom w:val="nil"/>
          <w:right w:val="nil"/>
          <w:between w:val="nil"/>
        </w:pBdr>
        <w:tabs>
          <w:tab w:val="left" w:pos="432"/>
          <w:tab w:val="left" w:pos="2678"/>
        </w:tabs>
        <w:spacing w:after="120" w:line="360" w:lineRule="auto"/>
        <w:jc w:val="both"/>
        <w:rPr>
          <w:rFonts w:ascii="Arial" w:eastAsia="Arial" w:hAnsi="Arial" w:cs="Arial"/>
          <w:color w:val="010000"/>
          <w:sz w:val="20"/>
          <w:szCs w:val="20"/>
        </w:rPr>
      </w:pPr>
      <w:r>
        <w:rPr>
          <w:rFonts w:ascii="Arial" w:hAnsi="Arial"/>
          <w:color w:val="010000"/>
          <w:sz w:val="20"/>
        </w:rPr>
        <w:t xml:space="preserve">Realized salary for the Business Executive of </w:t>
      </w:r>
      <w:proofErr w:type="spellStart"/>
      <w:r>
        <w:rPr>
          <w:rFonts w:ascii="Arial" w:hAnsi="Arial"/>
          <w:color w:val="010000"/>
          <w:sz w:val="20"/>
        </w:rPr>
        <w:t>Soc</w:t>
      </w:r>
      <w:proofErr w:type="spellEnd"/>
      <w:r>
        <w:rPr>
          <w:rFonts w:ascii="Arial" w:hAnsi="Arial"/>
          <w:color w:val="010000"/>
          <w:sz w:val="20"/>
        </w:rPr>
        <w:t xml:space="preserve"> Trang Public Works Joint Stock Company is VND 2,070,400,000</w:t>
      </w:r>
    </w:p>
    <w:p w14:paraId="2F14FCA6" w14:textId="77777777" w:rsidR="00B56278" w:rsidRPr="000D1800" w:rsidRDefault="000D1800" w:rsidP="00CC4DDE">
      <w:pPr>
        <w:numPr>
          <w:ilvl w:val="0"/>
          <w:numId w:val="8"/>
        </w:numPr>
        <w:pBdr>
          <w:top w:val="nil"/>
          <w:left w:val="nil"/>
          <w:bottom w:val="nil"/>
          <w:right w:val="nil"/>
          <w:between w:val="nil"/>
        </w:pBdr>
        <w:tabs>
          <w:tab w:val="left" w:pos="432"/>
          <w:tab w:val="left" w:pos="2678"/>
        </w:tabs>
        <w:spacing w:after="120" w:line="360" w:lineRule="auto"/>
        <w:jc w:val="both"/>
        <w:rPr>
          <w:rFonts w:ascii="Arial" w:eastAsia="Arial" w:hAnsi="Arial" w:cs="Arial"/>
          <w:color w:val="010000"/>
          <w:sz w:val="20"/>
          <w:szCs w:val="20"/>
        </w:rPr>
      </w:pPr>
      <w:r>
        <w:rPr>
          <w:rFonts w:ascii="Arial" w:hAnsi="Arial"/>
          <w:color w:val="010000"/>
          <w:sz w:val="20"/>
        </w:rPr>
        <w:t xml:space="preserve">Realized salary for the Business Executives of </w:t>
      </w: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TNHH MTV </w:t>
      </w: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trình</w:t>
      </w:r>
      <w:proofErr w:type="spellEnd"/>
      <w:r>
        <w:rPr>
          <w:rFonts w:ascii="Arial" w:hAnsi="Arial"/>
          <w:color w:val="010000"/>
          <w:sz w:val="20"/>
        </w:rPr>
        <w:t xml:space="preserve"> </w:t>
      </w:r>
      <w:proofErr w:type="spellStart"/>
      <w:r>
        <w:rPr>
          <w:rFonts w:ascii="Arial" w:hAnsi="Arial"/>
          <w:color w:val="010000"/>
          <w:sz w:val="20"/>
        </w:rPr>
        <w:t>Đô</w:t>
      </w:r>
      <w:proofErr w:type="spellEnd"/>
      <w:r>
        <w:rPr>
          <w:rFonts w:ascii="Arial" w:hAnsi="Arial"/>
          <w:color w:val="010000"/>
          <w:sz w:val="20"/>
        </w:rPr>
        <w:t xml:space="preserve"> </w:t>
      </w:r>
      <w:proofErr w:type="spellStart"/>
      <w:r>
        <w:rPr>
          <w:rFonts w:ascii="Arial" w:hAnsi="Arial"/>
          <w:color w:val="010000"/>
          <w:sz w:val="20"/>
        </w:rPr>
        <w:t>thị</w:t>
      </w:r>
      <w:proofErr w:type="spellEnd"/>
      <w:r>
        <w:rPr>
          <w:rFonts w:ascii="Arial" w:hAnsi="Arial"/>
          <w:color w:val="010000"/>
          <w:sz w:val="20"/>
        </w:rPr>
        <w:t xml:space="preserve"> </w:t>
      </w:r>
      <w:proofErr w:type="spellStart"/>
      <w:r>
        <w:rPr>
          <w:rFonts w:ascii="Arial" w:hAnsi="Arial"/>
          <w:color w:val="010000"/>
          <w:sz w:val="20"/>
        </w:rPr>
        <w:t>Vĩnh</w:t>
      </w:r>
      <w:proofErr w:type="spellEnd"/>
      <w:r>
        <w:rPr>
          <w:rFonts w:ascii="Arial" w:hAnsi="Arial"/>
          <w:color w:val="010000"/>
          <w:sz w:val="20"/>
        </w:rPr>
        <w:t xml:space="preserve"> </w:t>
      </w:r>
      <w:proofErr w:type="spellStart"/>
      <w:r>
        <w:rPr>
          <w:rFonts w:ascii="Arial" w:hAnsi="Arial"/>
          <w:color w:val="010000"/>
          <w:sz w:val="20"/>
        </w:rPr>
        <w:t>Châu</w:t>
      </w:r>
      <w:proofErr w:type="spellEnd"/>
      <w:r>
        <w:rPr>
          <w:rFonts w:ascii="Arial" w:hAnsi="Arial"/>
          <w:color w:val="010000"/>
          <w:sz w:val="20"/>
        </w:rPr>
        <w:t xml:space="preserve"> (tentatively translated as </w:t>
      </w:r>
      <w:proofErr w:type="spellStart"/>
      <w:r>
        <w:rPr>
          <w:rFonts w:ascii="Arial" w:hAnsi="Arial"/>
          <w:color w:val="010000"/>
          <w:sz w:val="20"/>
        </w:rPr>
        <w:t>Vinh</w:t>
      </w:r>
      <w:proofErr w:type="spellEnd"/>
      <w:r>
        <w:rPr>
          <w:rFonts w:ascii="Arial" w:hAnsi="Arial"/>
          <w:color w:val="010000"/>
          <w:sz w:val="20"/>
        </w:rPr>
        <w:t xml:space="preserve"> Chau Urban Construction Company Limited) and </w:t>
      </w:r>
      <w:proofErr w:type="spellStart"/>
      <w:r>
        <w:rPr>
          <w:rFonts w:ascii="Arial" w:hAnsi="Arial"/>
          <w:color w:val="010000"/>
          <w:sz w:val="20"/>
        </w:rPr>
        <w:t>Soc</w:t>
      </w:r>
      <w:proofErr w:type="spellEnd"/>
      <w:r>
        <w:rPr>
          <w:rFonts w:ascii="Arial" w:hAnsi="Arial"/>
          <w:color w:val="010000"/>
          <w:sz w:val="20"/>
        </w:rPr>
        <w:t xml:space="preserve"> Trang Mechanical Construction One Member Limited Company is VND 1,198,740,000</w:t>
      </w:r>
    </w:p>
    <w:p w14:paraId="532D2C98" w14:textId="77777777" w:rsidR="00B56278" w:rsidRPr="000D1800" w:rsidRDefault="000D1800" w:rsidP="00CC4DDE">
      <w:pPr>
        <w:numPr>
          <w:ilvl w:val="0"/>
          <w:numId w:val="4"/>
        </w:numPr>
        <w:pBdr>
          <w:top w:val="nil"/>
          <w:left w:val="nil"/>
          <w:bottom w:val="nil"/>
          <w:right w:val="nil"/>
          <w:between w:val="nil"/>
        </w:pBdr>
        <w:tabs>
          <w:tab w:val="left" w:pos="432"/>
          <w:tab w:val="left" w:pos="2783"/>
        </w:tabs>
        <w:spacing w:after="120" w:line="360" w:lineRule="auto"/>
        <w:jc w:val="both"/>
        <w:rPr>
          <w:rFonts w:ascii="Arial" w:eastAsia="Arial" w:hAnsi="Arial" w:cs="Arial"/>
          <w:color w:val="010000"/>
          <w:sz w:val="20"/>
          <w:szCs w:val="20"/>
        </w:rPr>
      </w:pPr>
      <w:r>
        <w:rPr>
          <w:rFonts w:ascii="Arial" w:hAnsi="Arial"/>
          <w:color w:val="010000"/>
          <w:sz w:val="20"/>
        </w:rPr>
        <w:t>Realized salary and remuneration for the Board of Directors, the Supervisory Board in 2023:</w:t>
      </w:r>
    </w:p>
    <w:p w14:paraId="07149738" w14:textId="77777777" w:rsidR="00B56278" w:rsidRPr="000D1800" w:rsidRDefault="000D1800" w:rsidP="00CC4DDE">
      <w:pPr>
        <w:numPr>
          <w:ilvl w:val="0"/>
          <w:numId w:val="8"/>
        </w:numPr>
        <w:pBdr>
          <w:top w:val="nil"/>
          <w:left w:val="nil"/>
          <w:bottom w:val="nil"/>
          <w:right w:val="nil"/>
          <w:between w:val="nil"/>
        </w:pBdr>
        <w:tabs>
          <w:tab w:val="left" w:pos="432"/>
          <w:tab w:val="left" w:pos="2663"/>
        </w:tabs>
        <w:spacing w:after="120" w:line="360" w:lineRule="auto"/>
        <w:jc w:val="both"/>
        <w:rPr>
          <w:rFonts w:ascii="Arial" w:eastAsia="Arial" w:hAnsi="Arial" w:cs="Arial"/>
          <w:color w:val="010000"/>
          <w:sz w:val="20"/>
          <w:szCs w:val="20"/>
        </w:rPr>
      </w:pPr>
      <w:r>
        <w:rPr>
          <w:rFonts w:ascii="Arial" w:hAnsi="Arial"/>
          <w:color w:val="010000"/>
          <w:sz w:val="20"/>
        </w:rPr>
        <w:t>Realized salary and remuneration for the Board of Directors are VND 960,000,000</w:t>
      </w:r>
    </w:p>
    <w:p w14:paraId="3BF9E436" w14:textId="77777777" w:rsidR="00B56278" w:rsidRPr="000D1800" w:rsidRDefault="000D1800" w:rsidP="00CC4DDE">
      <w:pPr>
        <w:numPr>
          <w:ilvl w:val="0"/>
          <w:numId w:val="8"/>
        </w:numPr>
        <w:pBdr>
          <w:top w:val="nil"/>
          <w:left w:val="nil"/>
          <w:bottom w:val="nil"/>
          <w:right w:val="nil"/>
          <w:between w:val="nil"/>
        </w:pBdr>
        <w:tabs>
          <w:tab w:val="left" w:pos="432"/>
          <w:tab w:val="left" w:pos="2663"/>
        </w:tabs>
        <w:spacing w:after="120" w:line="360" w:lineRule="auto"/>
        <w:jc w:val="both"/>
        <w:rPr>
          <w:rFonts w:ascii="Arial" w:eastAsia="Arial" w:hAnsi="Arial" w:cs="Arial"/>
          <w:color w:val="010000"/>
          <w:sz w:val="20"/>
          <w:szCs w:val="20"/>
        </w:rPr>
      </w:pPr>
      <w:r>
        <w:rPr>
          <w:rFonts w:ascii="Arial" w:hAnsi="Arial"/>
          <w:color w:val="010000"/>
          <w:sz w:val="20"/>
        </w:rPr>
        <w:t>Realized remuneration for the Supervisory Board is VND 246,000,000</w:t>
      </w:r>
    </w:p>
    <w:p w14:paraId="7CB4AD2D" w14:textId="77777777" w:rsidR="00B56278" w:rsidRPr="000D1800" w:rsidRDefault="000D1800" w:rsidP="00CC4DDE">
      <w:pPr>
        <w:numPr>
          <w:ilvl w:val="0"/>
          <w:numId w:val="4"/>
        </w:numPr>
        <w:pBdr>
          <w:top w:val="nil"/>
          <w:left w:val="nil"/>
          <w:bottom w:val="nil"/>
          <w:right w:val="nil"/>
          <w:between w:val="nil"/>
        </w:pBdr>
        <w:tabs>
          <w:tab w:val="left" w:pos="432"/>
          <w:tab w:val="left" w:pos="2763"/>
        </w:tabs>
        <w:spacing w:after="120" w:line="360" w:lineRule="auto"/>
        <w:jc w:val="both"/>
        <w:rPr>
          <w:rFonts w:ascii="Arial" w:eastAsia="Arial" w:hAnsi="Arial" w:cs="Arial"/>
          <w:color w:val="010000"/>
          <w:sz w:val="20"/>
          <w:szCs w:val="20"/>
        </w:rPr>
      </w:pPr>
      <w:r>
        <w:rPr>
          <w:rFonts w:ascii="Arial" w:hAnsi="Arial"/>
          <w:color w:val="010000"/>
          <w:sz w:val="20"/>
        </w:rPr>
        <w:t>Remuneration Plan for members of the Board of Directors, the Supervisory Board in 2024:</w:t>
      </w:r>
    </w:p>
    <w:p w14:paraId="3A649514" w14:textId="77777777" w:rsidR="00B56278" w:rsidRPr="000D1800" w:rsidRDefault="000D1800" w:rsidP="00CC4D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maximum of planned remuneration for the Board of Directors and the Supervisory Board in 2024 is 0.7% of the total consolidated revenue in 2024.</w:t>
      </w:r>
    </w:p>
    <w:p w14:paraId="3FB7F250" w14:textId="77777777" w:rsidR="00B56278" w:rsidRPr="000D1800" w:rsidRDefault="000D1800" w:rsidP="00CC4D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Report on operational results of the Board of Directors in 2023 and the operational plan for 2024.</w:t>
      </w:r>
    </w:p>
    <w:p w14:paraId="0ED7BCEF" w14:textId="77777777" w:rsidR="00B56278" w:rsidRPr="000D1800" w:rsidRDefault="000D1800" w:rsidP="00CC4D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Report on operational results of the Supervisory Board in 2023 and the operational orientation for 2024.</w:t>
      </w:r>
    </w:p>
    <w:p w14:paraId="0577D673" w14:textId="77777777" w:rsidR="00B56278" w:rsidRPr="000D1800" w:rsidRDefault="000D1800" w:rsidP="00CC4D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Proposal on the selection of an audit company for the Financial Statements 2024.</w:t>
      </w:r>
    </w:p>
    <w:p w14:paraId="616AA10A" w14:textId="77777777" w:rsidR="00B56278" w:rsidRPr="000D1800" w:rsidRDefault="000D1800" w:rsidP="00CC4D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assigns the Board of Directors to select an independent audit company as per the request of the Head of the Supervisory Board to audit the Financial Statements 2024 of </w:t>
      </w:r>
      <w:proofErr w:type="spellStart"/>
      <w:r>
        <w:rPr>
          <w:rFonts w:ascii="Arial" w:hAnsi="Arial"/>
          <w:color w:val="010000"/>
          <w:sz w:val="20"/>
        </w:rPr>
        <w:t>Soc</w:t>
      </w:r>
      <w:proofErr w:type="spellEnd"/>
      <w:r>
        <w:rPr>
          <w:rFonts w:ascii="Arial" w:hAnsi="Arial"/>
          <w:color w:val="010000"/>
          <w:sz w:val="20"/>
        </w:rPr>
        <w:t xml:space="preserve"> Trang Public Works Joint Stock Company according to the provisions of law and sign the auditing service provision Contract with the selected audit company.</w:t>
      </w:r>
    </w:p>
    <w:p w14:paraId="52B0DD5D" w14:textId="77777777" w:rsidR="00B56278" w:rsidRPr="000D1800" w:rsidRDefault="000D1800" w:rsidP="00CC4D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Proposal on supplementing business lines and details of business lines.</w:t>
      </w:r>
    </w:p>
    <w:p w14:paraId="662925BB" w14:textId="77777777" w:rsidR="00B56278" w:rsidRPr="000D1800" w:rsidRDefault="000D1800" w:rsidP="00CC4DDE">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Supplement business lines:</w:t>
      </w:r>
    </w:p>
    <w:tbl>
      <w:tblPr>
        <w:tblStyle w:val="a2"/>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99"/>
        <w:gridCol w:w="1648"/>
      </w:tblGrid>
      <w:tr w:rsidR="00B56278" w:rsidRPr="000D1800" w14:paraId="0E6B7C6F" w14:textId="77777777" w:rsidTr="000D1800">
        <w:trPr>
          <w:jc w:val="right"/>
        </w:trPr>
        <w:tc>
          <w:tcPr>
            <w:tcW w:w="4089" w:type="pct"/>
            <w:shd w:val="clear" w:color="auto" w:fill="auto"/>
            <w:tcMar>
              <w:top w:w="0" w:type="dxa"/>
              <w:bottom w:w="0" w:type="dxa"/>
            </w:tcMar>
            <w:vAlign w:val="center"/>
          </w:tcPr>
          <w:p w14:paraId="539954D1"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Name of business line</w:t>
            </w:r>
          </w:p>
        </w:tc>
        <w:tc>
          <w:tcPr>
            <w:tcW w:w="911" w:type="pct"/>
            <w:shd w:val="clear" w:color="auto" w:fill="auto"/>
            <w:tcMar>
              <w:top w:w="0" w:type="dxa"/>
              <w:bottom w:w="0" w:type="dxa"/>
            </w:tcMar>
            <w:vAlign w:val="center"/>
          </w:tcPr>
          <w:p w14:paraId="3C57C69E"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Industrial Code</w:t>
            </w:r>
          </w:p>
        </w:tc>
      </w:tr>
      <w:tr w:rsidR="00B56278" w:rsidRPr="000D1800" w14:paraId="1CAB53ED" w14:textId="77777777" w:rsidTr="000D1800">
        <w:trPr>
          <w:jc w:val="right"/>
        </w:trPr>
        <w:tc>
          <w:tcPr>
            <w:tcW w:w="4089" w:type="pct"/>
            <w:shd w:val="clear" w:color="auto" w:fill="auto"/>
            <w:tcMar>
              <w:top w:w="0" w:type="dxa"/>
              <w:bottom w:w="0" w:type="dxa"/>
            </w:tcMar>
            <w:vAlign w:val="center"/>
          </w:tcPr>
          <w:p w14:paraId="4C916A6B"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of cosmetics, soaps, detergents, polishes, and hygiene preparations.</w:t>
            </w:r>
          </w:p>
          <w:p w14:paraId="01AC5847"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Details: Production of biological preparations, products for treating and improving </w:t>
            </w:r>
            <w:r>
              <w:rPr>
                <w:rFonts w:ascii="Arial" w:hAnsi="Arial"/>
                <w:color w:val="010000"/>
                <w:sz w:val="20"/>
              </w:rPr>
              <w:lastRenderedPageBreak/>
              <w:t>the environment of waste and wastewater.</w:t>
            </w:r>
          </w:p>
        </w:tc>
        <w:tc>
          <w:tcPr>
            <w:tcW w:w="911" w:type="pct"/>
            <w:shd w:val="clear" w:color="auto" w:fill="auto"/>
            <w:tcMar>
              <w:top w:w="0" w:type="dxa"/>
              <w:bottom w:w="0" w:type="dxa"/>
            </w:tcMar>
            <w:vAlign w:val="center"/>
          </w:tcPr>
          <w:p w14:paraId="4BC34142"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2023</w:t>
            </w:r>
          </w:p>
        </w:tc>
      </w:tr>
    </w:tbl>
    <w:p w14:paraId="73BF787F" w14:textId="77777777" w:rsidR="00B56278" w:rsidRPr="000D1800" w:rsidRDefault="000D1800" w:rsidP="000D180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Supplement to the details of the business line:</w:t>
      </w:r>
    </w:p>
    <w:tbl>
      <w:tblPr>
        <w:tblStyle w:val="a3"/>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02"/>
        <w:gridCol w:w="1645"/>
      </w:tblGrid>
      <w:tr w:rsidR="00B56278" w:rsidRPr="000D1800" w14:paraId="671A52A0" w14:textId="77777777" w:rsidTr="000D1800">
        <w:trPr>
          <w:jc w:val="right"/>
        </w:trPr>
        <w:tc>
          <w:tcPr>
            <w:tcW w:w="4091" w:type="pct"/>
            <w:shd w:val="clear" w:color="auto" w:fill="auto"/>
            <w:tcMar>
              <w:top w:w="0" w:type="dxa"/>
              <w:bottom w:w="0" w:type="dxa"/>
            </w:tcMar>
            <w:vAlign w:val="center"/>
          </w:tcPr>
          <w:p w14:paraId="137E9255"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Details of the business line</w:t>
            </w:r>
          </w:p>
        </w:tc>
        <w:tc>
          <w:tcPr>
            <w:tcW w:w="909" w:type="pct"/>
            <w:shd w:val="clear" w:color="auto" w:fill="auto"/>
            <w:tcMar>
              <w:top w:w="0" w:type="dxa"/>
              <w:bottom w:w="0" w:type="dxa"/>
            </w:tcMar>
            <w:vAlign w:val="center"/>
          </w:tcPr>
          <w:p w14:paraId="79C07375"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Industrial Code</w:t>
            </w:r>
          </w:p>
        </w:tc>
      </w:tr>
      <w:tr w:rsidR="00B56278" w:rsidRPr="000D1800" w14:paraId="73523DF9" w14:textId="77777777" w:rsidTr="000D1800">
        <w:trPr>
          <w:jc w:val="right"/>
        </w:trPr>
        <w:tc>
          <w:tcPr>
            <w:tcW w:w="4091" w:type="pct"/>
            <w:shd w:val="clear" w:color="auto" w:fill="auto"/>
            <w:tcMar>
              <w:top w:w="0" w:type="dxa"/>
              <w:bottom w:w="0" w:type="dxa"/>
            </w:tcMar>
            <w:vAlign w:val="center"/>
          </w:tcPr>
          <w:p w14:paraId="77E0BF87"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Details: Wholesale of biological preparations, products for treating and improving the environment of waste and wastewater.</w:t>
            </w:r>
          </w:p>
        </w:tc>
        <w:tc>
          <w:tcPr>
            <w:tcW w:w="909" w:type="pct"/>
            <w:shd w:val="clear" w:color="auto" w:fill="auto"/>
            <w:tcMar>
              <w:top w:w="0" w:type="dxa"/>
              <w:bottom w:w="0" w:type="dxa"/>
            </w:tcMar>
            <w:vAlign w:val="center"/>
          </w:tcPr>
          <w:p w14:paraId="0420A478"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4669</w:t>
            </w:r>
          </w:p>
        </w:tc>
      </w:tr>
      <w:tr w:rsidR="00B56278" w:rsidRPr="000D1800" w14:paraId="1AC50CE8" w14:textId="77777777" w:rsidTr="000D1800">
        <w:trPr>
          <w:jc w:val="right"/>
        </w:trPr>
        <w:tc>
          <w:tcPr>
            <w:tcW w:w="4091" w:type="pct"/>
            <w:shd w:val="clear" w:color="auto" w:fill="auto"/>
            <w:tcMar>
              <w:top w:w="0" w:type="dxa"/>
              <w:bottom w:w="0" w:type="dxa"/>
            </w:tcMar>
            <w:vAlign w:val="center"/>
          </w:tcPr>
          <w:p w14:paraId="35206402" w14:textId="77777777" w:rsidR="00B56278" w:rsidRPr="000D1800" w:rsidRDefault="000D1800" w:rsidP="000D18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Details: Retail of biological preparations, products for treating and improving the environment of waste and wastewater.</w:t>
            </w:r>
          </w:p>
        </w:tc>
        <w:tc>
          <w:tcPr>
            <w:tcW w:w="909" w:type="pct"/>
            <w:shd w:val="clear" w:color="auto" w:fill="auto"/>
            <w:tcMar>
              <w:top w:w="0" w:type="dxa"/>
              <w:bottom w:w="0" w:type="dxa"/>
            </w:tcMar>
            <w:vAlign w:val="center"/>
          </w:tcPr>
          <w:p w14:paraId="36A95F98" w14:textId="77777777" w:rsidR="00B56278" w:rsidRPr="000D1800" w:rsidRDefault="000D1800" w:rsidP="000D18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4773</w:t>
            </w:r>
          </w:p>
        </w:tc>
      </w:tr>
    </w:tbl>
    <w:p w14:paraId="148CED16" w14:textId="77777777" w:rsidR="00B56278" w:rsidRPr="000D1800" w:rsidRDefault="000D1800" w:rsidP="000D1800">
      <w:pPr>
        <w:numPr>
          <w:ilvl w:val="0"/>
          <w:numId w:val="8"/>
        </w:numPr>
        <w:pBdr>
          <w:top w:val="nil"/>
          <w:left w:val="nil"/>
          <w:bottom w:val="nil"/>
          <w:right w:val="nil"/>
          <w:between w:val="nil"/>
        </w:pBdr>
        <w:tabs>
          <w:tab w:val="left" w:pos="432"/>
          <w:tab w:val="left" w:pos="2609"/>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agreed to supplement the registered business lines of </w:t>
      </w:r>
      <w:proofErr w:type="spellStart"/>
      <w:r>
        <w:rPr>
          <w:rFonts w:ascii="Arial" w:hAnsi="Arial"/>
          <w:color w:val="010000"/>
          <w:sz w:val="20"/>
        </w:rPr>
        <w:t>Soc</w:t>
      </w:r>
      <w:proofErr w:type="spellEnd"/>
      <w:r>
        <w:rPr>
          <w:rFonts w:ascii="Arial" w:hAnsi="Arial"/>
          <w:color w:val="010000"/>
          <w:sz w:val="20"/>
        </w:rPr>
        <w:t xml:space="preserve"> Trang Public Works Joint Stock Company and supplement the Company's Charter corresponding to the content and details of the supplemented business lines according to Report No. 02/TT.HDQT-CTDT dated April 4, 2024.</w:t>
      </w:r>
    </w:p>
    <w:p w14:paraId="7D701F6F" w14:textId="77777777" w:rsidR="00B56278" w:rsidRPr="000D1800" w:rsidRDefault="000D1800" w:rsidP="000D1800">
      <w:pPr>
        <w:numPr>
          <w:ilvl w:val="0"/>
          <w:numId w:val="8"/>
        </w:numPr>
        <w:pBdr>
          <w:top w:val="nil"/>
          <w:left w:val="nil"/>
          <w:bottom w:val="nil"/>
          <w:right w:val="nil"/>
          <w:between w:val="nil"/>
        </w:pBdr>
        <w:tabs>
          <w:tab w:val="left" w:pos="432"/>
          <w:tab w:val="left" w:pos="2609"/>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assigns the Chair of the Board of Directors of the Company to organize the implementation, prepare dossiers and carry out necessary legal procedures and arising ones (if any) to carry out the registration for the supplemented business lines according to regulations.</w:t>
      </w:r>
    </w:p>
    <w:p w14:paraId="5172D93D" w14:textId="77777777" w:rsidR="00B56278" w:rsidRPr="000D1800" w:rsidRDefault="000D1800" w:rsidP="000D18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9. Approve the contents supplement to the Charter of Organization and Operations of </w:t>
      </w:r>
      <w:proofErr w:type="spellStart"/>
      <w:r>
        <w:rPr>
          <w:rFonts w:ascii="Arial" w:hAnsi="Arial"/>
          <w:color w:val="010000"/>
          <w:sz w:val="20"/>
        </w:rPr>
        <w:t>Soc</w:t>
      </w:r>
      <w:proofErr w:type="spellEnd"/>
      <w:r>
        <w:rPr>
          <w:rFonts w:ascii="Arial" w:hAnsi="Arial"/>
          <w:color w:val="010000"/>
          <w:sz w:val="20"/>
        </w:rPr>
        <w:t xml:space="preserve"> Trang Public Works Joint Stock Company (Supplemented contents according to Report No. 03/TT.HDQT-CTDT dated April 4, 2024).</w:t>
      </w:r>
    </w:p>
    <w:p w14:paraId="3E04D300" w14:textId="77777777" w:rsidR="00B56278" w:rsidRPr="000D1800" w:rsidRDefault="000D1800" w:rsidP="000D18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assigns the Chair of the Board of Directors of the Company to complete, organize, and implement the necessary legal procedures and arising ones (if any) to implement the supplement to the Company's Charter according to regulations.</w:t>
      </w:r>
      <w:bookmarkStart w:id="0" w:name="_GoBack"/>
      <w:bookmarkEnd w:id="0"/>
    </w:p>
    <w:p w14:paraId="5A1F78AC" w14:textId="77777777" w:rsidR="00B56278" w:rsidRPr="000D1800" w:rsidRDefault="000D1800" w:rsidP="000D18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Terms of enforcement</w:t>
      </w:r>
    </w:p>
    <w:p w14:paraId="046537E1" w14:textId="77777777" w:rsidR="00B56278" w:rsidRPr="000D1800" w:rsidRDefault="000D1800" w:rsidP="000D1800">
      <w:pPr>
        <w:numPr>
          <w:ilvl w:val="0"/>
          <w:numId w:val="7"/>
        </w:numPr>
        <w:pBdr>
          <w:top w:val="nil"/>
          <w:left w:val="nil"/>
          <w:bottom w:val="nil"/>
          <w:right w:val="nil"/>
          <w:between w:val="nil"/>
        </w:pBdr>
        <w:tabs>
          <w:tab w:val="left" w:pos="432"/>
          <w:tab w:val="left" w:pos="2714"/>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was approved at the Annual General Meeting of Shareholders 2024 of </w:t>
      </w:r>
      <w:proofErr w:type="spellStart"/>
      <w:r>
        <w:rPr>
          <w:rFonts w:ascii="Arial" w:hAnsi="Arial"/>
          <w:color w:val="010000"/>
          <w:sz w:val="20"/>
        </w:rPr>
        <w:t>Soc</w:t>
      </w:r>
      <w:proofErr w:type="spellEnd"/>
      <w:r>
        <w:rPr>
          <w:rFonts w:ascii="Arial" w:hAnsi="Arial"/>
          <w:color w:val="010000"/>
          <w:sz w:val="20"/>
        </w:rPr>
        <w:t xml:space="preserve"> Trang Public Works Joint Stock Company on April 26, 2024 and takes effects from the date of approval.</w:t>
      </w:r>
    </w:p>
    <w:p w14:paraId="3A1D5A9A" w14:textId="77777777" w:rsidR="00B56278" w:rsidRPr="000D1800" w:rsidRDefault="000D1800" w:rsidP="000D1800">
      <w:pPr>
        <w:numPr>
          <w:ilvl w:val="0"/>
          <w:numId w:val="7"/>
        </w:numPr>
        <w:pBdr>
          <w:top w:val="nil"/>
          <w:left w:val="nil"/>
          <w:bottom w:val="nil"/>
          <w:right w:val="nil"/>
          <w:between w:val="nil"/>
        </w:pBdr>
        <w:tabs>
          <w:tab w:val="left" w:pos="432"/>
          <w:tab w:val="left" w:pos="2714"/>
        </w:tabs>
        <w:spacing w:after="120" w:line="360" w:lineRule="auto"/>
        <w:jc w:val="both"/>
        <w:rPr>
          <w:rFonts w:ascii="Arial" w:eastAsia="Arial" w:hAnsi="Arial" w:cs="Arial"/>
          <w:color w:val="010000"/>
          <w:sz w:val="20"/>
          <w:szCs w:val="20"/>
        </w:rPr>
      </w:pPr>
      <w:r>
        <w:rPr>
          <w:rFonts w:ascii="Arial" w:hAnsi="Arial"/>
          <w:color w:val="010000"/>
          <w:sz w:val="20"/>
        </w:rPr>
        <w:t xml:space="preserve">Members of the Board of Directors, the Supervisory Board, the Board of Management, and shareholders of </w:t>
      </w:r>
      <w:proofErr w:type="spellStart"/>
      <w:r>
        <w:rPr>
          <w:rFonts w:ascii="Arial" w:hAnsi="Arial"/>
          <w:color w:val="010000"/>
          <w:sz w:val="20"/>
        </w:rPr>
        <w:t>Soc</w:t>
      </w:r>
      <w:proofErr w:type="spellEnd"/>
      <w:r>
        <w:rPr>
          <w:rFonts w:ascii="Arial" w:hAnsi="Arial"/>
          <w:color w:val="010000"/>
          <w:sz w:val="20"/>
        </w:rPr>
        <w:t xml:space="preserve"> Trang Public Works Joint Stock Company are responsible for implementing this General Mandate and organizing its implementation according to their authority and function in accordance with the provisions of law and the Charter of Organization and Operations of </w:t>
      </w:r>
      <w:proofErr w:type="spellStart"/>
      <w:r>
        <w:rPr>
          <w:rFonts w:ascii="Arial" w:hAnsi="Arial"/>
          <w:color w:val="010000"/>
          <w:sz w:val="20"/>
        </w:rPr>
        <w:t>Soc</w:t>
      </w:r>
      <w:proofErr w:type="spellEnd"/>
      <w:r>
        <w:rPr>
          <w:rFonts w:ascii="Arial" w:hAnsi="Arial"/>
          <w:color w:val="010000"/>
          <w:sz w:val="20"/>
        </w:rPr>
        <w:t xml:space="preserve"> Trang Public Works Joint Stock Company.</w:t>
      </w:r>
    </w:p>
    <w:sectPr w:rsidR="00B56278" w:rsidRPr="000D1800" w:rsidSect="000D180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DAF"/>
    <w:multiLevelType w:val="multilevel"/>
    <w:tmpl w:val="66B0FE5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901E6D"/>
    <w:multiLevelType w:val="multilevel"/>
    <w:tmpl w:val="FFA641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14C7516"/>
    <w:multiLevelType w:val="multilevel"/>
    <w:tmpl w:val="2618AFD2"/>
    <w:lvl w:ilvl="0">
      <w:start w:val="2"/>
      <w:numFmt w:val="decimal"/>
      <w:lvlText w:val="%1."/>
      <w:lvlJc w:val="left"/>
      <w:pPr>
        <w:ind w:left="0" w:firstLine="0"/>
      </w:pPr>
      <w:rPr>
        <w:rFonts w:ascii="Arial" w:eastAsia="Arial" w:hAnsi="Arial" w:cs="Arial"/>
        <w:b w:val="0"/>
        <w:i w:val="0"/>
        <w:smallCaps w:val="0"/>
        <w:strike w:val="0"/>
        <w:color w:val="363737"/>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24B67E6"/>
    <w:multiLevelType w:val="multilevel"/>
    <w:tmpl w:val="6A84D4C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A0B3B49"/>
    <w:multiLevelType w:val="multilevel"/>
    <w:tmpl w:val="40DA3C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F45544A"/>
    <w:multiLevelType w:val="hybridMultilevel"/>
    <w:tmpl w:val="6F14B514"/>
    <w:lvl w:ilvl="0" w:tplc="6294589C">
      <w:start w:val="1"/>
      <w:numFmt w:val="bullet"/>
      <w:lvlText w:val=""/>
      <w:lvlJc w:val="left"/>
      <w:pPr>
        <w:ind w:left="720" w:hanging="360"/>
      </w:pPr>
      <w:rPr>
        <w:rFonts w:ascii="Symbol" w:hAnsi="Symbol" w:hint="default"/>
        <w:b w:val="0"/>
        <w:i w:val="0"/>
        <w:sz w:val="20"/>
      </w:rPr>
    </w:lvl>
    <w:lvl w:ilvl="1" w:tplc="26FCF756" w:tentative="1">
      <w:start w:val="1"/>
      <w:numFmt w:val="bullet"/>
      <w:lvlText w:val="o"/>
      <w:lvlJc w:val="left"/>
      <w:pPr>
        <w:ind w:left="1440" w:hanging="360"/>
      </w:pPr>
      <w:rPr>
        <w:rFonts w:ascii="Courier New" w:hAnsi="Courier New" w:cs="Courier New" w:hint="default"/>
        <w:b w:val="0"/>
        <w:i w:val="0"/>
        <w:sz w:val="20"/>
      </w:rPr>
    </w:lvl>
    <w:lvl w:ilvl="2" w:tplc="6DB2B01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2149E"/>
    <w:multiLevelType w:val="multilevel"/>
    <w:tmpl w:val="2EEA372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69F63CE"/>
    <w:multiLevelType w:val="multilevel"/>
    <w:tmpl w:val="3B92D53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D05628F"/>
    <w:multiLevelType w:val="multilevel"/>
    <w:tmpl w:val="A378E63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BED2B4A"/>
    <w:multiLevelType w:val="multilevel"/>
    <w:tmpl w:val="780E0C4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1CB5012"/>
    <w:multiLevelType w:val="hybridMultilevel"/>
    <w:tmpl w:val="423C6C32"/>
    <w:lvl w:ilvl="0" w:tplc="ABE86640">
      <w:start w:val="1"/>
      <w:numFmt w:val="bullet"/>
      <w:lvlText w:val=""/>
      <w:lvlJc w:val="left"/>
      <w:pPr>
        <w:ind w:left="720" w:hanging="360"/>
      </w:pPr>
      <w:rPr>
        <w:rFonts w:ascii="Symbol" w:hAnsi="Symbol" w:hint="default"/>
        <w:b w:val="0"/>
        <w:i w:val="0"/>
        <w:sz w:val="20"/>
      </w:rPr>
    </w:lvl>
    <w:lvl w:ilvl="1" w:tplc="8F66C0E2" w:tentative="1">
      <w:start w:val="1"/>
      <w:numFmt w:val="bullet"/>
      <w:lvlText w:val="o"/>
      <w:lvlJc w:val="left"/>
      <w:pPr>
        <w:ind w:left="1440" w:hanging="360"/>
      </w:pPr>
      <w:rPr>
        <w:rFonts w:ascii="Courier New" w:hAnsi="Courier New" w:cs="Courier New" w:hint="default"/>
        <w:b w:val="0"/>
        <w:i w:val="0"/>
        <w:sz w:val="20"/>
      </w:rPr>
    </w:lvl>
    <w:lvl w:ilvl="2" w:tplc="4044C1C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03BD4"/>
    <w:multiLevelType w:val="multilevel"/>
    <w:tmpl w:val="E7A65B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7"/>
  </w:num>
  <w:num w:numId="3">
    <w:abstractNumId w:val="11"/>
  </w:num>
  <w:num w:numId="4">
    <w:abstractNumId w:val="1"/>
  </w:num>
  <w:num w:numId="5">
    <w:abstractNumId w:val="9"/>
  </w:num>
  <w:num w:numId="6">
    <w:abstractNumId w:val="0"/>
  </w:num>
  <w:num w:numId="7">
    <w:abstractNumId w:val="3"/>
  </w:num>
  <w:num w:numId="8">
    <w:abstractNumId w:val="6"/>
  </w:num>
  <w:num w:numId="9">
    <w:abstractNumId w:val="2"/>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78"/>
    <w:rsid w:val="000D1800"/>
    <w:rsid w:val="0044797E"/>
    <w:rsid w:val="00B56278"/>
    <w:rsid w:val="00CC4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7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63737"/>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363737"/>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Tahoma" w:eastAsia="Tahoma" w:hAnsi="Tahoma" w:cs="Tahoma"/>
      <w:b w:val="0"/>
      <w:bCs w:val="0"/>
      <w:i w:val="0"/>
      <w:iCs w:val="0"/>
      <w:smallCaps w:val="0"/>
      <w:strike w:val="0"/>
      <w:color w:val="CA818F"/>
      <w:w w:val="70"/>
      <w:sz w:val="20"/>
      <w:szCs w:val="20"/>
      <w:u w:val="none"/>
      <w:shd w:val="clear" w:color="auto" w:fill="auto"/>
    </w:rPr>
  </w:style>
  <w:style w:type="paragraph" w:customStyle="1" w:styleId="Vnbnnidung0">
    <w:name w:val="Văn bản nội dung"/>
    <w:basedOn w:val="Normal"/>
    <w:link w:val="Vnbnnidung"/>
    <w:pPr>
      <w:spacing w:after="40" w:line="257"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after="210" w:line="250" w:lineRule="auto"/>
      <w:outlineLvl w:val="0"/>
    </w:pPr>
    <w:rPr>
      <w:rFonts w:ascii="Times New Roman" w:eastAsia="Times New Roman" w:hAnsi="Times New Roman" w:cs="Times New Roman"/>
      <w:b/>
      <w:bCs/>
      <w:color w:val="363737"/>
      <w:sz w:val="26"/>
      <w:szCs w:val="26"/>
    </w:rPr>
  </w:style>
  <w:style w:type="paragraph" w:customStyle="1" w:styleId="Chthchbng0">
    <w:name w:val="Chú thích bảng"/>
    <w:basedOn w:val="Normal"/>
    <w:link w:val="Chthchbng"/>
    <w:pPr>
      <w:spacing w:after="40" w:line="254" w:lineRule="auto"/>
      <w:ind w:firstLine="720"/>
    </w:pPr>
    <w:rPr>
      <w:rFonts w:ascii="Times New Roman" w:eastAsia="Times New Roman" w:hAnsi="Times New Roman" w:cs="Times New Roman"/>
      <w:color w:val="363737"/>
      <w:sz w:val="26"/>
      <w:szCs w:val="26"/>
    </w:rPr>
  </w:style>
  <w:style w:type="paragraph" w:customStyle="1" w:styleId="Khc0">
    <w:name w:val="Khác"/>
    <w:basedOn w:val="Normal"/>
    <w:link w:val="Khc"/>
    <w:pPr>
      <w:spacing w:after="40" w:line="257"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spacing w:after="60"/>
    </w:pPr>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after="180" w:line="206" w:lineRule="auto"/>
    </w:pPr>
    <w:rPr>
      <w:rFonts w:ascii="Times New Roman" w:eastAsia="Times New Roman" w:hAnsi="Times New Roman" w:cs="Times New Roman"/>
      <w:color w:val="FF0000"/>
      <w:sz w:val="17"/>
      <w:szCs w:val="17"/>
    </w:rPr>
  </w:style>
  <w:style w:type="paragraph" w:customStyle="1" w:styleId="Vnbnnidung20">
    <w:name w:val="Văn bản nội dung (2)"/>
    <w:basedOn w:val="Normal"/>
    <w:link w:val="Vnbnnidung2"/>
    <w:pPr>
      <w:spacing w:line="271" w:lineRule="auto"/>
    </w:pPr>
    <w:rPr>
      <w:rFonts w:ascii="Times New Roman" w:eastAsia="Times New Roman" w:hAnsi="Times New Roman" w:cs="Times New Roman"/>
      <w:sz w:val="20"/>
      <w:szCs w:val="20"/>
    </w:rPr>
  </w:style>
  <w:style w:type="paragraph" w:customStyle="1" w:styleId="Vnbnnidung50">
    <w:name w:val="Văn bản nội dung (5)"/>
    <w:basedOn w:val="Normal"/>
    <w:link w:val="Vnbnnidung5"/>
    <w:rPr>
      <w:rFonts w:ascii="Tahoma" w:eastAsia="Tahoma" w:hAnsi="Tahoma" w:cs="Tahoma"/>
      <w:color w:val="CA818F"/>
      <w:w w:val="7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0D1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63737"/>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363737"/>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Tahoma" w:eastAsia="Tahoma" w:hAnsi="Tahoma" w:cs="Tahoma"/>
      <w:b w:val="0"/>
      <w:bCs w:val="0"/>
      <w:i w:val="0"/>
      <w:iCs w:val="0"/>
      <w:smallCaps w:val="0"/>
      <w:strike w:val="0"/>
      <w:color w:val="CA818F"/>
      <w:w w:val="70"/>
      <w:sz w:val="20"/>
      <w:szCs w:val="20"/>
      <w:u w:val="none"/>
      <w:shd w:val="clear" w:color="auto" w:fill="auto"/>
    </w:rPr>
  </w:style>
  <w:style w:type="paragraph" w:customStyle="1" w:styleId="Vnbnnidung0">
    <w:name w:val="Văn bản nội dung"/>
    <w:basedOn w:val="Normal"/>
    <w:link w:val="Vnbnnidung"/>
    <w:pPr>
      <w:spacing w:after="40" w:line="257"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after="210" w:line="250" w:lineRule="auto"/>
      <w:outlineLvl w:val="0"/>
    </w:pPr>
    <w:rPr>
      <w:rFonts w:ascii="Times New Roman" w:eastAsia="Times New Roman" w:hAnsi="Times New Roman" w:cs="Times New Roman"/>
      <w:b/>
      <w:bCs/>
      <w:color w:val="363737"/>
      <w:sz w:val="26"/>
      <w:szCs w:val="26"/>
    </w:rPr>
  </w:style>
  <w:style w:type="paragraph" w:customStyle="1" w:styleId="Chthchbng0">
    <w:name w:val="Chú thích bảng"/>
    <w:basedOn w:val="Normal"/>
    <w:link w:val="Chthchbng"/>
    <w:pPr>
      <w:spacing w:after="40" w:line="254" w:lineRule="auto"/>
      <w:ind w:firstLine="720"/>
    </w:pPr>
    <w:rPr>
      <w:rFonts w:ascii="Times New Roman" w:eastAsia="Times New Roman" w:hAnsi="Times New Roman" w:cs="Times New Roman"/>
      <w:color w:val="363737"/>
      <w:sz w:val="26"/>
      <w:szCs w:val="26"/>
    </w:rPr>
  </w:style>
  <w:style w:type="paragraph" w:customStyle="1" w:styleId="Khc0">
    <w:name w:val="Khác"/>
    <w:basedOn w:val="Normal"/>
    <w:link w:val="Khc"/>
    <w:pPr>
      <w:spacing w:after="40" w:line="257"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spacing w:after="60"/>
    </w:pPr>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after="180" w:line="206" w:lineRule="auto"/>
    </w:pPr>
    <w:rPr>
      <w:rFonts w:ascii="Times New Roman" w:eastAsia="Times New Roman" w:hAnsi="Times New Roman" w:cs="Times New Roman"/>
      <w:color w:val="FF0000"/>
      <w:sz w:val="17"/>
      <w:szCs w:val="17"/>
    </w:rPr>
  </w:style>
  <w:style w:type="paragraph" w:customStyle="1" w:styleId="Vnbnnidung20">
    <w:name w:val="Văn bản nội dung (2)"/>
    <w:basedOn w:val="Normal"/>
    <w:link w:val="Vnbnnidung2"/>
    <w:pPr>
      <w:spacing w:line="271" w:lineRule="auto"/>
    </w:pPr>
    <w:rPr>
      <w:rFonts w:ascii="Times New Roman" w:eastAsia="Times New Roman" w:hAnsi="Times New Roman" w:cs="Times New Roman"/>
      <w:sz w:val="20"/>
      <w:szCs w:val="20"/>
    </w:rPr>
  </w:style>
  <w:style w:type="paragraph" w:customStyle="1" w:styleId="Vnbnnidung50">
    <w:name w:val="Văn bản nội dung (5)"/>
    <w:basedOn w:val="Normal"/>
    <w:link w:val="Vnbnnidung5"/>
    <w:rPr>
      <w:rFonts w:ascii="Tahoma" w:eastAsia="Tahoma" w:hAnsi="Tahoma" w:cs="Tahoma"/>
      <w:color w:val="CA818F"/>
      <w:w w:val="7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0D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4f4SIWVnu9loPGdwSBD9OXgFmw==">CgMxLjA4AHIhMWxmaUs0RmVlaHFDSHBjV3FrVW1sWmdXaEZ2b1lUTHdi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1254</Words>
  <Characters>6967</Characters>
  <Application>Microsoft Office Word</Application>
  <DocSecurity>0</DocSecurity>
  <Lines>58</Lines>
  <Paragraphs>16</Paragraphs>
  <ScaleCrop>false</ScaleCrop>
  <Company>Microsoft</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2024-05-06T08:01:00Z</dcterms:created>
  <dcterms:modified xsi:type="dcterms:W3CDTF">2024-05-07T06:43:00Z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955c6a8cddd0cb1cc49e3aca98277c1b765bd6baeb23132985a83d2fefc7a634</vt:lpwstr>
  </property>
</Properties>
</file>