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73E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b/>
          <w:sz w:val="20"/>
          <w:szCs w:val="20"/>
        </w:rPr>
      </w:pPr>
      <w:r>
        <w:rPr>
          <w:rFonts w:ascii="Arial" w:hAnsi="Arial"/>
          <w:b/>
          <w:sz w:val="20"/>
        </w:rPr>
        <w:t>VBB: Annual General Mandate 2024</w:t>
      </w:r>
    </w:p>
    <w:p w14:paraId="3FF2197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On April 26, 2024, Viet Nam Thuong Tin Commercial Joint Stock Bank announced General Mandate No. 01/2024/NQ-DHDCD as follows:</w:t>
      </w:r>
    </w:p>
    <w:p w14:paraId="45C6EA8D" w14:textId="77777777" w:rsidR="00325D5B" w:rsidRPr="00E61EF8" w:rsidRDefault="005223E8" w:rsidP="00E61EF8">
      <w:pPr>
        <w:numPr>
          <w:ilvl w:val="0"/>
          <w:numId w:val="11"/>
        </w:numPr>
        <w:pBdr>
          <w:top w:val="nil"/>
          <w:left w:val="nil"/>
          <w:bottom w:val="nil"/>
          <w:right w:val="nil"/>
          <w:between w:val="nil"/>
        </w:pBdr>
        <w:tabs>
          <w:tab w:val="left" w:pos="830"/>
        </w:tabs>
        <w:spacing w:after="120" w:line="360" w:lineRule="auto"/>
        <w:rPr>
          <w:rFonts w:ascii="Arial" w:eastAsia="Arial" w:hAnsi="Arial" w:cs="Arial"/>
          <w:sz w:val="20"/>
          <w:szCs w:val="20"/>
        </w:rPr>
      </w:pPr>
      <w:r>
        <w:rPr>
          <w:rFonts w:ascii="Arial" w:hAnsi="Arial"/>
          <w:sz w:val="20"/>
        </w:rPr>
        <w:t>Approve the Report on the production and business results in 2023 and the business plan for 2024.</w:t>
      </w:r>
    </w:p>
    <w:p w14:paraId="7B210FA4" w14:textId="77777777" w:rsidR="00325D5B" w:rsidRPr="00E61EF8" w:rsidRDefault="005223E8" w:rsidP="00E61EF8">
      <w:pPr>
        <w:numPr>
          <w:ilvl w:val="0"/>
          <w:numId w:val="14"/>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Approve the Report on business performance results in 2023 and the Business plan for 2024:</w:t>
      </w:r>
    </w:p>
    <w:p w14:paraId="3E620069" w14:textId="77777777" w:rsidR="00325D5B" w:rsidRPr="00E61EF8" w:rsidRDefault="005223E8" w:rsidP="00E61EF8">
      <w:pPr>
        <w:numPr>
          <w:ilvl w:val="0"/>
          <w:numId w:val="8"/>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Scale indicators: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Unit: Billion VND, %</w:t>
      </w:r>
    </w:p>
    <w:tbl>
      <w:tblPr>
        <w:tblStyle w:val="a"/>
        <w:tblW w:w="5000" w:type="pct"/>
        <w:tblLook w:val="0000" w:firstRow="0" w:lastRow="0" w:firstColumn="0" w:lastColumn="0" w:noHBand="0" w:noVBand="0"/>
      </w:tblPr>
      <w:tblGrid>
        <w:gridCol w:w="3367"/>
        <w:gridCol w:w="1608"/>
        <w:gridCol w:w="2066"/>
        <w:gridCol w:w="1975"/>
      </w:tblGrid>
      <w:tr w:rsidR="00325D5B" w:rsidRPr="00E61EF8" w14:paraId="4F476E05" w14:textId="77777777" w:rsidTr="00E61EF8">
        <w:tc>
          <w:tcPr>
            <w:tcW w:w="1867" w:type="pct"/>
            <w:vMerge w:val="restart"/>
            <w:tcBorders>
              <w:top w:val="single" w:sz="4" w:space="0" w:color="000000"/>
              <w:left w:val="single" w:sz="4" w:space="0" w:color="000000"/>
            </w:tcBorders>
            <w:shd w:val="clear" w:color="auto" w:fill="auto"/>
            <w:tcMar>
              <w:top w:w="0" w:type="dxa"/>
              <w:bottom w:w="0" w:type="dxa"/>
            </w:tcMar>
            <w:vAlign w:val="center"/>
          </w:tcPr>
          <w:p w14:paraId="50B6A378"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892" w:type="pct"/>
            <w:vMerge w:val="restart"/>
            <w:tcBorders>
              <w:top w:val="single" w:sz="4" w:space="0" w:color="000000"/>
              <w:left w:val="single" w:sz="4" w:space="0" w:color="000000"/>
            </w:tcBorders>
            <w:shd w:val="clear" w:color="auto" w:fill="auto"/>
            <w:tcMar>
              <w:top w:w="0" w:type="dxa"/>
              <w:bottom w:w="0" w:type="dxa"/>
            </w:tcMar>
            <w:vAlign w:val="center"/>
          </w:tcPr>
          <w:p w14:paraId="09AA1EF2"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Results 2023 </w:t>
            </w:r>
          </w:p>
        </w:tc>
        <w:tc>
          <w:tcPr>
            <w:tcW w:w="2242"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5E71D00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Compared to Plan 2023 </w:t>
            </w:r>
          </w:p>
        </w:tc>
      </w:tr>
      <w:tr w:rsidR="00325D5B" w:rsidRPr="00E61EF8" w14:paraId="0CCB95D0" w14:textId="77777777" w:rsidTr="00E61EF8">
        <w:tc>
          <w:tcPr>
            <w:tcW w:w="1867" w:type="pct"/>
            <w:vMerge/>
            <w:tcBorders>
              <w:top w:val="single" w:sz="4" w:space="0" w:color="000000"/>
              <w:left w:val="single" w:sz="4" w:space="0" w:color="000000"/>
            </w:tcBorders>
            <w:shd w:val="clear" w:color="auto" w:fill="auto"/>
            <w:tcMar>
              <w:top w:w="0" w:type="dxa"/>
              <w:bottom w:w="0" w:type="dxa"/>
            </w:tcMar>
            <w:vAlign w:val="center"/>
          </w:tcPr>
          <w:p w14:paraId="025493DB"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892" w:type="pct"/>
            <w:vMerge/>
            <w:tcBorders>
              <w:top w:val="single" w:sz="4" w:space="0" w:color="000000"/>
              <w:left w:val="single" w:sz="4" w:space="0" w:color="000000"/>
            </w:tcBorders>
            <w:shd w:val="clear" w:color="auto" w:fill="auto"/>
            <w:tcMar>
              <w:top w:w="0" w:type="dxa"/>
              <w:bottom w:w="0" w:type="dxa"/>
            </w:tcMar>
            <w:vAlign w:val="center"/>
          </w:tcPr>
          <w:p w14:paraId="01B8EA77"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1146" w:type="pct"/>
            <w:tcBorders>
              <w:top w:val="single" w:sz="4" w:space="0" w:color="000000"/>
              <w:left w:val="single" w:sz="4" w:space="0" w:color="000000"/>
            </w:tcBorders>
            <w:shd w:val="clear" w:color="auto" w:fill="auto"/>
            <w:tcMar>
              <w:top w:w="0" w:type="dxa"/>
              <w:bottom w:w="0" w:type="dxa"/>
            </w:tcMar>
            <w:vAlign w:val="center"/>
          </w:tcPr>
          <w:p w14:paraId="2E0789A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Plan 2023 </w:t>
            </w:r>
          </w:p>
        </w:tc>
        <w:tc>
          <w:tcPr>
            <w:tcW w:w="109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238EC3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 of Plan 2023 </w:t>
            </w:r>
          </w:p>
        </w:tc>
      </w:tr>
      <w:tr w:rsidR="00325D5B" w:rsidRPr="00E61EF8" w14:paraId="022BCA71" w14:textId="77777777" w:rsidTr="00E61EF8">
        <w:tc>
          <w:tcPr>
            <w:tcW w:w="1867" w:type="pct"/>
            <w:tcBorders>
              <w:top w:val="single" w:sz="4" w:space="0" w:color="000000"/>
              <w:left w:val="single" w:sz="4" w:space="0" w:color="000000"/>
            </w:tcBorders>
            <w:shd w:val="clear" w:color="auto" w:fill="auto"/>
            <w:tcMar>
              <w:top w:w="0" w:type="dxa"/>
              <w:bottom w:w="0" w:type="dxa"/>
            </w:tcMar>
            <w:vAlign w:val="center"/>
          </w:tcPr>
          <w:p w14:paraId="793F0222"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p>
        </w:tc>
        <w:tc>
          <w:tcPr>
            <w:tcW w:w="892" w:type="pct"/>
            <w:tcBorders>
              <w:top w:val="single" w:sz="4" w:space="0" w:color="000000"/>
              <w:left w:val="single" w:sz="4" w:space="0" w:color="000000"/>
            </w:tcBorders>
            <w:shd w:val="clear" w:color="auto" w:fill="auto"/>
            <w:tcMar>
              <w:top w:w="0" w:type="dxa"/>
              <w:bottom w:w="0" w:type="dxa"/>
            </w:tcMar>
            <w:vAlign w:val="center"/>
          </w:tcPr>
          <w:p w14:paraId="0141CDB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138,258</w:t>
            </w:r>
          </w:p>
        </w:tc>
        <w:tc>
          <w:tcPr>
            <w:tcW w:w="1146" w:type="pct"/>
            <w:tcBorders>
              <w:top w:val="single" w:sz="4" w:space="0" w:color="000000"/>
              <w:left w:val="single" w:sz="4" w:space="0" w:color="000000"/>
            </w:tcBorders>
            <w:shd w:val="clear" w:color="auto" w:fill="auto"/>
            <w:tcMar>
              <w:top w:w="0" w:type="dxa"/>
              <w:bottom w:w="0" w:type="dxa"/>
            </w:tcMar>
            <w:vAlign w:val="center"/>
          </w:tcPr>
          <w:p w14:paraId="547C8BD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125,000</w:t>
            </w:r>
          </w:p>
        </w:tc>
        <w:tc>
          <w:tcPr>
            <w:tcW w:w="109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90C913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111</w:t>
            </w:r>
          </w:p>
        </w:tc>
      </w:tr>
      <w:tr w:rsidR="00325D5B" w:rsidRPr="00E61EF8" w14:paraId="118DF9D7" w14:textId="77777777" w:rsidTr="00E61EF8">
        <w:tc>
          <w:tcPr>
            <w:tcW w:w="1867" w:type="pct"/>
            <w:tcBorders>
              <w:top w:val="single" w:sz="4" w:space="0" w:color="000000"/>
              <w:left w:val="single" w:sz="4" w:space="0" w:color="000000"/>
            </w:tcBorders>
            <w:shd w:val="clear" w:color="auto" w:fill="auto"/>
            <w:tcMar>
              <w:top w:w="0" w:type="dxa"/>
              <w:bottom w:w="0" w:type="dxa"/>
            </w:tcMar>
            <w:vAlign w:val="center"/>
          </w:tcPr>
          <w:p w14:paraId="65021442"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outstanding credit (*)</w:t>
            </w:r>
          </w:p>
        </w:tc>
        <w:tc>
          <w:tcPr>
            <w:tcW w:w="892" w:type="pct"/>
            <w:tcBorders>
              <w:top w:val="single" w:sz="4" w:space="0" w:color="000000"/>
              <w:left w:val="single" w:sz="4" w:space="0" w:color="000000"/>
            </w:tcBorders>
            <w:shd w:val="clear" w:color="auto" w:fill="auto"/>
            <w:tcMar>
              <w:top w:w="0" w:type="dxa"/>
              <w:bottom w:w="0" w:type="dxa"/>
            </w:tcMar>
            <w:vAlign w:val="center"/>
          </w:tcPr>
          <w:p w14:paraId="1BD0259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w:t>
            </w:r>
          </w:p>
        </w:tc>
        <w:tc>
          <w:tcPr>
            <w:tcW w:w="1146" w:type="pct"/>
            <w:tcBorders>
              <w:top w:val="single" w:sz="4" w:space="0" w:color="000000"/>
              <w:left w:val="single" w:sz="4" w:space="0" w:color="000000"/>
            </w:tcBorders>
            <w:shd w:val="clear" w:color="auto" w:fill="auto"/>
            <w:tcMar>
              <w:top w:w="0" w:type="dxa"/>
              <w:bottom w:w="0" w:type="dxa"/>
            </w:tcMar>
            <w:vAlign w:val="center"/>
          </w:tcPr>
          <w:p w14:paraId="1B3DB9E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79,100</w:t>
            </w:r>
          </w:p>
        </w:tc>
        <w:tc>
          <w:tcPr>
            <w:tcW w:w="109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A120D1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102</w:t>
            </w:r>
          </w:p>
        </w:tc>
      </w:tr>
      <w:tr w:rsidR="00325D5B" w:rsidRPr="00E61EF8" w14:paraId="46F1CDD3" w14:textId="77777777" w:rsidTr="00E61EF8">
        <w:tc>
          <w:tcPr>
            <w:tcW w:w="1867" w:type="pct"/>
            <w:tcBorders>
              <w:top w:val="single" w:sz="4" w:space="0" w:color="000000"/>
              <w:left w:val="single" w:sz="4" w:space="0" w:color="000000"/>
            </w:tcBorders>
            <w:shd w:val="clear" w:color="auto" w:fill="auto"/>
            <w:tcMar>
              <w:top w:w="0" w:type="dxa"/>
              <w:bottom w:w="0" w:type="dxa"/>
            </w:tcMar>
            <w:vAlign w:val="center"/>
          </w:tcPr>
          <w:p w14:paraId="0EB65A97"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mobilized capital (**)</w:t>
            </w:r>
          </w:p>
        </w:tc>
        <w:tc>
          <w:tcPr>
            <w:tcW w:w="892" w:type="pct"/>
            <w:tcBorders>
              <w:top w:val="single" w:sz="4" w:space="0" w:color="000000"/>
              <w:left w:val="single" w:sz="4" w:space="0" w:color="000000"/>
            </w:tcBorders>
            <w:shd w:val="clear" w:color="auto" w:fill="auto"/>
            <w:tcMar>
              <w:top w:w="0" w:type="dxa"/>
              <w:bottom w:w="0" w:type="dxa"/>
            </w:tcMar>
            <w:vAlign w:val="center"/>
          </w:tcPr>
          <w:p w14:paraId="04BE102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101,547</w:t>
            </w:r>
          </w:p>
        </w:tc>
        <w:tc>
          <w:tcPr>
            <w:tcW w:w="1146" w:type="pct"/>
            <w:tcBorders>
              <w:top w:val="single" w:sz="4" w:space="0" w:color="000000"/>
              <w:left w:val="single" w:sz="4" w:space="0" w:color="000000"/>
            </w:tcBorders>
            <w:shd w:val="clear" w:color="auto" w:fill="auto"/>
            <w:tcMar>
              <w:top w:w="0" w:type="dxa"/>
              <w:bottom w:w="0" w:type="dxa"/>
            </w:tcMar>
            <w:vAlign w:val="center"/>
          </w:tcPr>
          <w:p w14:paraId="0A7E4B9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100,000</w:t>
            </w:r>
          </w:p>
        </w:tc>
        <w:tc>
          <w:tcPr>
            <w:tcW w:w="109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A27764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102</w:t>
            </w:r>
          </w:p>
        </w:tc>
      </w:tr>
      <w:tr w:rsidR="00325D5B" w:rsidRPr="00E61EF8" w14:paraId="34FB0F66" w14:textId="77777777" w:rsidTr="00E61EF8">
        <w:tc>
          <w:tcPr>
            <w:tcW w:w="1867" w:type="pct"/>
            <w:tcBorders>
              <w:top w:val="single" w:sz="4" w:space="0" w:color="000000"/>
              <w:left w:val="single" w:sz="4" w:space="0" w:color="000000"/>
            </w:tcBorders>
            <w:shd w:val="clear" w:color="auto" w:fill="auto"/>
            <w:tcMar>
              <w:top w:w="0" w:type="dxa"/>
              <w:bottom w:w="0" w:type="dxa"/>
            </w:tcMar>
            <w:vAlign w:val="center"/>
          </w:tcPr>
          <w:p w14:paraId="4571E26E"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Charter capital</w:t>
            </w:r>
          </w:p>
        </w:tc>
        <w:tc>
          <w:tcPr>
            <w:tcW w:w="892" w:type="pct"/>
            <w:tcBorders>
              <w:top w:val="single" w:sz="4" w:space="0" w:color="000000"/>
              <w:left w:val="single" w:sz="4" w:space="0" w:color="000000"/>
            </w:tcBorders>
            <w:shd w:val="clear" w:color="auto" w:fill="auto"/>
            <w:tcMar>
              <w:top w:w="0" w:type="dxa"/>
              <w:bottom w:w="0" w:type="dxa"/>
            </w:tcMar>
            <w:vAlign w:val="center"/>
          </w:tcPr>
          <w:p w14:paraId="3D087A71"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4,777</w:t>
            </w:r>
          </w:p>
        </w:tc>
        <w:tc>
          <w:tcPr>
            <w:tcW w:w="1146" w:type="pct"/>
            <w:tcBorders>
              <w:top w:val="single" w:sz="4" w:space="0" w:color="000000"/>
              <w:left w:val="single" w:sz="4" w:space="0" w:color="000000"/>
            </w:tcBorders>
            <w:shd w:val="clear" w:color="auto" w:fill="auto"/>
            <w:tcMar>
              <w:top w:w="0" w:type="dxa"/>
              <w:bottom w:w="0" w:type="dxa"/>
            </w:tcMar>
            <w:vAlign w:val="center"/>
          </w:tcPr>
          <w:p w14:paraId="094E0AC9" w14:textId="77777777" w:rsidR="00325D5B" w:rsidRPr="00E61EF8" w:rsidRDefault="00325D5B" w:rsidP="00E61EF8">
            <w:pPr>
              <w:spacing w:after="120" w:line="360" w:lineRule="auto"/>
              <w:jc w:val="right"/>
              <w:rPr>
                <w:rFonts w:ascii="Arial" w:eastAsia="Arial" w:hAnsi="Arial" w:cs="Arial"/>
                <w:sz w:val="20"/>
                <w:szCs w:val="20"/>
              </w:rPr>
            </w:pPr>
          </w:p>
        </w:tc>
        <w:tc>
          <w:tcPr>
            <w:tcW w:w="109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2006A4F" w14:textId="77777777" w:rsidR="00325D5B" w:rsidRPr="00E61EF8" w:rsidRDefault="00325D5B" w:rsidP="00E61EF8">
            <w:pPr>
              <w:spacing w:after="120" w:line="360" w:lineRule="auto"/>
              <w:jc w:val="right"/>
              <w:rPr>
                <w:rFonts w:ascii="Arial" w:eastAsia="Arial" w:hAnsi="Arial" w:cs="Arial"/>
                <w:sz w:val="20"/>
                <w:szCs w:val="20"/>
              </w:rPr>
            </w:pPr>
          </w:p>
        </w:tc>
      </w:tr>
      <w:tr w:rsidR="00325D5B" w:rsidRPr="00E61EF8" w14:paraId="237A83A5" w14:textId="77777777" w:rsidTr="00E61EF8">
        <w:tc>
          <w:tcPr>
            <w:tcW w:w="18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E8A867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w:t>
            </w:r>
          </w:p>
        </w:tc>
        <w:tc>
          <w:tcPr>
            <w:tcW w:w="89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3551E81"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812</w:t>
            </w:r>
          </w:p>
        </w:tc>
        <w:tc>
          <w:tcPr>
            <w:tcW w:w="114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380193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960</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453874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84.6</w:t>
            </w:r>
          </w:p>
        </w:tc>
      </w:tr>
    </w:tbl>
    <w:p w14:paraId="2E190F48"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Total outstanding credit includes Loans to customers and Corporate bonds.</w:t>
      </w:r>
    </w:p>
    <w:p w14:paraId="126C1BCB"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Total mobilized capital includes Customer deposits and Issuance of valuable papers.</w:t>
      </w:r>
    </w:p>
    <w:p w14:paraId="5872FE08"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Business performance indicators:</w:t>
      </w:r>
      <w:r>
        <w:rPr>
          <w:rFonts w:ascii="Arial" w:hAnsi="Arial"/>
          <w:sz w:val="20"/>
        </w:rPr>
        <w:tab/>
      </w:r>
      <w:r>
        <w:rPr>
          <w:rFonts w:ascii="Arial" w:hAnsi="Arial"/>
          <w:sz w:val="20"/>
        </w:rPr>
        <w:tab/>
      </w:r>
      <w:r>
        <w:rPr>
          <w:rFonts w:ascii="Arial" w:hAnsi="Arial"/>
          <w:sz w:val="20"/>
        </w:rPr>
        <w:tab/>
      </w:r>
      <w:r>
        <w:rPr>
          <w:rFonts w:ascii="Arial" w:hAnsi="Arial"/>
          <w:sz w:val="20"/>
        </w:rPr>
        <w:tab/>
        <w:t>Unit: Billion VND, %</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2"/>
        <w:gridCol w:w="2689"/>
        <w:gridCol w:w="1477"/>
        <w:gridCol w:w="1188"/>
        <w:gridCol w:w="1453"/>
        <w:gridCol w:w="1699"/>
        <w:gridCol w:w="28"/>
      </w:tblGrid>
      <w:tr w:rsidR="00325D5B" w:rsidRPr="00E61EF8" w14:paraId="420B06D2" w14:textId="77777777" w:rsidTr="00D7313D">
        <w:tc>
          <w:tcPr>
            <w:tcW w:w="268" w:type="pct"/>
            <w:shd w:val="clear" w:color="auto" w:fill="auto"/>
            <w:tcMar>
              <w:top w:w="0" w:type="dxa"/>
              <w:bottom w:w="0" w:type="dxa"/>
            </w:tcMar>
            <w:vAlign w:val="center"/>
          </w:tcPr>
          <w:p w14:paraId="4E88571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1491" w:type="pct"/>
            <w:shd w:val="clear" w:color="auto" w:fill="auto"/>
            <w:tcMar>
              <w:top w:w="0" w:type="dxa"/>
              <w:bottom w:w="0" w:type="dxa"/>
            </w:tcMar>
            <w:vAlign w:val="center"/>
          </w:tcPr>
          <w:p w14:paraId="5F81F38E"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819" w:type="pct"/>
            <w:shd w:val="clear" w:color="auto" w:fill="auto"/>
            <w:tcMar>
              <w:top w:w="0" w:type="dxa"/>
              <w:bottom w:w="0" w:type="dxa"/>
            </w:tcMar>
            <w:vAlign w:val="center"/>
          </w:tcPr>
          <w:p w14:paraId="1769858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Results</w:t>
            </w:r>
          </w:p>
          <w:p w14:paraId="46333D1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2023</w:t>
            </w:r>
          </w:p>
        </w:tc>
        <w:tc>
          <w:tcPr>
            <w:tcW w:w="659" w:type="pct"/>
            <w:shd w:val="clear" w:color="auto" w:fill="auto"/>
            <w:tcMar>
              <w:top w:w="0" w:type="dxa"/>
              <w:bottom w:w="0" w:type="dxa"/>
            </w:tcMar>
            <w:vAlign w:val="center"/>
          </w:tcPr>
          <w:p w14:paraId="36BB810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Plan 2023</w:t>
            </w:r>
          </w:p>
        </w:tc>
        <w:tc>
          <w:tcPr>
            <w:tcW w:w="806" w:type="pct"/>
            <w:shd w:val="clear" w:color="auto" w:fill="auto"/>
            <w:tcMar>
              <w:top w:w="0" w:type="dxa"/>
              <w:bottom w:w="0" w:type="dxa"/>
            </w:tcMar>
            <w:vAlign w:val="center"/>
          </w:tcPr>
          <w:p w14:paraId="5251FC6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Completion of Plan 2023</w:t>
            </w:r>
          </w:p>
        </w:tc>
        <w:tc>
          <w:tcPr>
            <w:tcW w:w="958" w:type="pct"/>
            <w:gridSpan w:val="2"/>
            <w:shd w:val="clear" w:color="auto" w:fill="auto"/>
            <w:tcMar>
              <w:top w:w="0" w:type="dxa"/>
              <w:bottom w:w="0" w:type="dxa"/>
            </w:tcMar>
            <w:vAlign w:val="center"/>
          </w:tcPr>
          <w:p w14:paraId="2E4CD5D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Increase/Decrease of Plan 2023</w:t>
            </w:r>
          </w:p>
          <w:p w14:paraId="54B5159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2023</w:t>
            </w:r>
          </w:p>
        </w:tc>
      </w:tr>
      <w:tr w:rsidR="00325D5B" w:rsidRPr="00E61EF8" w14:paraId="547609B4" w14:textId="77777777" w:rsidTr="00D7313D">
        <w:tc>
          <w:tcPr>
            <w:tcW w:w="268" w:type="pct"/>
            <w:shd w:val="clear" w:color="auto" w:fill="auto"/>
            <w:tcMar>
              <w:top w:w="0" w:type="dxa"/>
              <w:bottom w:w="0" w:type="dxa"/>
            </w:tcMar>
            <w:vAlign w:val="center"/>
          </w:tcPr>
          <w:p w14:paraId="3C117783"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1491" w:type="pct"/>
            <w:shd w:val="clear" w:color="auto" w:fill="auto"/>
            <w:tcMar>
              <w:top w:w="0" w:type="dxa"/>
              <w:bottom w:w="0" w:type="dxa"/>
            </w:tcMar>
            <w:vAlign w:val="center"/>
          </w:tcPr>
          <w:p w14:paraId="0522B289"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operating income</w:t>
            </w:r>
          </w:p>
        </w:tc>
        <w:tc>
          <w:tcPr>
            <w:tcW w:w="819" w:type="pct"/>
            <w:shd w:val="clear" w:color="auto" w:fill="auto"/>
            <w:tcMar>
              <w:top w:w="0" w:type="dxa"/>
              <w:bottom w:w="0" w:type="dxa"/>
            </w:tcMar>
            <w:vAlign w:val="center"/>
          </w:tcPr>
          <w:p w14:paraId="1F27F25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2,397</w:t>
            </w:r>
          </w:p>
        </w:tc>
        <w:tc>
          <w:tcPr>
            <w:tcW w:w="659" w:type="pct"/>
            <w:shd w:val="clear" w:color="auto" w:fill="auto"/>
            <w:tcMar>
              <w:top w:w="0" w:type="dxa"/>
              <w:bottom w:w="0" w:type="dxa"/>
            </w:tcMar>
            <w:vAlign w:val="center"/>
          </w:tcPr>
          <w:p w14:paraId="5A897CED" w14:textId="77777777" w:rsidR="00325D5B" w:rsidRPr="00E61EF8" w:rsidRDefault="00325D5B" w:rsidP="00E61EF8">
            <w:pPr>
              <w:spacing w:after="120" w:line="360" w:lineRule="auto"/>
              <w:rPr>
                <w:rFonts w:ascii="Arial" w:eastAsia="Arial" w:hAnsi="Arial" w:cs="Arial"/>
                <w:sz w:val="20"/>
                <w:szCs w:val="20"/>
              </w:rPr>
            </w:pPr>
          </w:p>
        </w:tc>
        <w:tc>
          <w:tcPr>
            <w:tcW w:w="806" w:type="pct"/>
            <w:shd w:val="clear" w:color="auto" w:fill="auto"/>
            <w:tcMar>
              <w:top w:w="0" w:type="dxa"/>
              <w:bottom w:w="0" w:type="dxa"/>
            </w:tcMar>
            <w:vAlign w:val="center"/>
          </w:tcPr>
          <w:p w14:paraId="678A7134" w14:textId="77777777" w:rsidR="00325D5B" w:rsidRPr="00E61EF8" w:rsidRDefault="00325D5B" w:rsidP="00E61EF8">
            <w:pPr>
              <w:spacing w:after="120" w:line="360" w:lineRule="auto"/>
              <w:rPr>
                <w:rFonts w:ascii="Arial" w:eastAsia="Arial" w:hAnsi="Arial" w:cs="Arial"/>
                <w:sz w:val="20"/>
                <w:szCs w:val="20"/>
              </w:rPr>
            </w:pPr>
          </w:p>
        </w:tc>
        <w:tc>
          <w:tcPr>
            <w:tcW w:w="958" w:type="pct"/>
            <w:gridSpan w:val="2"/>
            <w:shd w:val="clear" w:color="auto" w:fill="auto"/>
            <w:tcMar>
              <w:top w:w="0" w:type="dxa"/>
              <w:bottom w:w="0" w:type="dxa"/>
            </w:tcMar>
            <w:vAlign w:val="center"/>
          </w:tcPr>
          <w:p w14:paraId="4525C151" w14:textId="77777777" w:rsidR="00325D5B" w:rsidRPr="00E61EF8" w:rsidRDefault="00325D5B" w:rsidP="00E61EF8">
            <w:pPr>
              <w:spacing w:after="120" w:line="360" w:lineRule="auto"/>
              <w:rPr>
                <w:rFonts w:ascii="Arial" w:eastAsia="Arial" w:hAnsi="Arial" w:cs="Arial"/>
                <w:sz w:val="20"/>
                <w:szCs w:val="20"/>
              </w:rPr>
            </w:pPr>
          </w:p>
        </w:tc>
      </w:tr>
      <w:tr w:rsidR="00325D5B" w:rsidRPr="00E61EF8" w14:paraId="1840CA64" w14:textId="77777777" w:rsidTr="00D7313D">
        <w:trPr>
          <w:gridAfter w:val="1"/>
          <w:wAfter w:w="16" w:type="pct"/>
        </w:trPr>
        <w:tc>
          <w:tcPr>
            <w:tcW w:w="268" w:type="pct"/>
            <w:shd w:val="clear" w:color="auto" w:fill="auto"/>
            <w:tcMar>
              <w:top w:w="0" w:type="dxa"/>
              <w:bottom w:w="0" w:type="dxa"/>
            </w:tcMar>
            <w:vAlign w:val="center"/>
          </w:tcPr>
          <w:p w14:paraId="6758102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1491" w:type="pct"/>
            <w:shd w:val="clear" w:color="auto" w:fill="auto"/>
            <w:tcMar>
              <w:top w:w="0" w:type="dxa"/>
              <w:bottom w:w="0" w:type="dxa"/>
            </w:tcMar>
            <w:vAlign w:val="center"/>
          </w:tcPr>
          <w:p w14:paraId="386FB228"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operating expenses</w:t>
            </w:r>
          </w:p>
        </w:tc>
        <w:tc>
          <w:tcPr>
            <w:tcW w:w="819" w:type="pct"/>
            <w:shd w:val="clear" w:color="auto" w:fill="auto"/>
            <w:tcMar>
              <w:top w:w="0" w:type="dxa"/>
              <w:bottom w:w="0" w:type="dxa"/>
            </w:tcMar>
            <w:vAlign w:val="center"/>
          </w:tcPr>
          <w:p w14:paraId="30127F2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1,470</w:t>
            </w:r>
          </w:p>
        </w:tc>
        <w:tc>
          <w:tcPr>
            <w:tcW w:w="659" w:type="pct"/>
            <w:shd w:val="clear" w:color="auto" w:fill="auto"/>
            <w:tcMar>
              <w:top w:w="0" w:type="dxa"/>
              <w:bottom w:w="0" w:type="dxa"/>
            </w:tcMar>
            <w:vAlign w:val="center"/>
          </w:tcPr>
          <w:p w14:paraId="50A4ADBE" w14:textId="77777777" w:rsidR="00325D5B" w:rsidRPr="00E61EF8" w:rsidRDefault="00325D5B" w:rsidP="00E61EF8">
            <w:pPr>
              <w:spacing w:after="120" w:line="360" w:lineRule="auto"/>
              <w:jc w:val="right"/>
              <w:rPr>
                <w:rFonts w:ascii="Arial" w:eastAsia="Arial" w:hAnsi="Arial" w:cs="Arial"/>
                <w:sz w:val="20"/>
                <w:szCs w:val="20"/>
              </w:rPr>
            </w:pPr>
          </w:p>
        </w:tc>
        <w:tc>
          <w:tcPr>
            <w:tcW w:w="806" w:type="pct"/>
            <w:shd w:val="clear" w:color="auto" w:fill="auto"/>
            <w:tcMar>
              <w:top w:w="0" w:type="dxa"/>
              <w:bottom w:w="0" w:type="dxa"/>
            </w:tcMar>
            <w:vAlign w:val="center"/>
          </w:tcPr>
          <w:p w14:paraId="58AA432A" w14:textId="77777777" w:rsidR="00325D5B" w:rsidRPr="00E61EF8" w:rsidRDefault="00325D5B" w:rsidP="00E61EF8">
            <w:pPr>
              <w:spacing w:after="120" w:line="360" w:lineRule="auto"/>
              <w:jc w:val="right"/>
              <w:rPr>
                <w:rFonts w:ascii="Arial" w:eastAsia="Arial" w:hAnsi="Arial" w:cs="Arial"/>
                <w:sz w:val="20"/>
                <w:szCs w:val="20"/>
              </w:rPr>
            </w:pPr>
          </w:p>
        </w:tc>
        <w:tc>
          <w:tcPr>
            <w:tcW w:w="942" w:type="pct"/>
            <w:shd w:val="clear" w:color="auto" w:fill="auto"/>
            <w:tcMar>
              <w:top w:w="0" w:type="dxa"/>
              <w:bottom w:w="0" w:type="dxa"/>
            </w:tcMar>
            <w:vAlign w:val="center"/>
          </w:tcPr>
          <w:p w14:paraId="16DF86BD" w14:textId="77777777" w:rsidR="00325D5B" w:rsidRPr="00E61EF8" w:rsidRDefault="00325D5B" w:rsidP="00E61EF8">
            <w:pPr>
              <w:spacing w:after="120" w:line="360" w:lineRule="auto"/>
              <w:jc w:val="right"/>
              <w:rPr>
                <w:rFonts w:ascii="Arial" w:eastAsia="Arial" w:hAnsi="Arial" w:cs="Arial"/>
                <w:sz w:val="20"/>
                <w:szCs w:val="20"/>
              </w:rPr>
            </w:pPr>
          </w:p>
        </w:tc>
      </w:tr>
      <w:tr w:rsidR="00325D5B" w:rsidRPr="00E61EF8" w14:paraId="10855F71" w14:textId="77777777" w:rsidTr="00D7313D">
        <w:trPr>
          <w:gridAfter w:val="1"/>
          <w:wAfter w:w="16" w:type="pct"/>
        </w:trPr>
        <w:tc>
          <w:tcPr>
            <w:tcW w:w="268" w:type="pct"/>
            <w:shd w:val="clear" w:color="auto" w:fill="auto"/>
            <w:tcMar>
              <w:top w:w="0" w:type="dxa"/>
              <w:bottom w:w="0" w:type="dxa"/>
            </w:tcMar>
            <w:vAlign w:val="center"/>
          </w:tcPr>
          <w:p w14:paraId="08A12DF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1491" w:type="pct"/>
            <w:shd w:val="clear" w:color="auto" w:fill="auto"/>
            <w:tcMar>
              <w:top w:w="0" w:type="dxa"/>
              <w:bottom w:w="0" w:type="dxa"/>
            </w:tcMar>
            <w:vAlign w:val="center"/>
          </w:tcPr>
          <w:p w14:paraId="2A6DACE2"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Operating profit (=1-2)</w:t>
            </w:r>
          </w:p>
        </w:tc>
        <w:tc>
          <w:tcPr>
            <w:tcW w:w="819" w:type="pct"/>
            <w:shd w:val="clear" w:color="auto" w:fill="auto"/>
            <w:tcMar>
              <w:top w:w="0" w:type="dxa"/>
              <w:bottom w:w="0" w:type="dxa"/>
            </w:tcMar>
            <w:vAlign w:val="center"/>
          </w:tcPr>
          <w:p w14:paraId="4C8E2481"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927</w:t>
            </w:r>
          </w:p>
        </w:tc>
        <w:tc>
          <w:tcPr>
            <w:tcW w:w="659" w:type="pct"/>
            <w:shd w:val="clear" w:color="auto" w:fill="auto"/>
            <w:tcMar>
              <w:top w:w="0" w:type="dxa"/>
              <w:bottom w:w="0" w:type="dxa"/>
            </w:tcMar>
            <w:vAlign w:val="center"/>
          </w:tcPr>
          <w:p w14:paraId="041B50DE" w14:textId="77777777" w:rsidR="00325D5B" w:rsidRPr="00E61EF8" w:rsidRDefault="00325D5B" w:rsidP="00E61EF8">
            <w:pPr>
              <w:spacing w:after="120" w:line="360" w:lineRule="auto"/>
              <w:jc w:val="right"/>
              <w:rPr>
                <w:rFonts w:ascii="Arial" w:eastAsia="Arial" w:hAnsi="Arial" w:cs="Arial"/>
                <w:sz w:val="20"/>
                <w:szCs w:val="20"/>
              </w:rPr>
            </w:pPr>
          </w:p>
        </w:tc>
        <w:tc>
          <w:tcPr>
            <w:tcW w:w="806" w:type="pct"/>
            <w:shd w:val="clear" w:color="auto" w:fill="auto"/>
            <w:tcMar>
              <w:top w:w="0" w:type="dxa"/>
              <w:bottom w:w="0" w:type="dxa"/>
            </w:tcMar>
            <w:vAlign w:val="center"/>
          </w:tcPr>
          <w:p w14:paraId="26FA0C9F" w14:textId="77777777" w:rsidR="00325D5B" w:rsidRPr="00E61EF8" w:rsidRDefault="00325D5B" w:rsidP="00E61EF8">
            <w:pPr>
              <w:spacing w:after="120" w:line="360" w:lineRule="auto"/>
              <w:jc w:val="right"/>
              <w:rPr>
                <w:rFonts w:ascii="Arial" w:eastAsia="Arial" w:hAnsi="Arial" w:cs="Arial"/>
                <w:sz w:val="20"/>
                <w:szCs w:val="20"/>
              </w:rPr>
            </w:pPr>
          </w:p>
        </w:tc>
        <w:tc>
          <w:tcPr>
            <w:tcW w:w="942" w:type="pct"/>
            <w:shd w:val="clear" w:color="auto" w:fill="auto"/>
            <w:tcMar>
              <w:top w:w="0" w:type="dxa"/>
              <w:bottom w:w="0" w:type="dxa"/>
            </w:tcMar>
            <w:vAlign w:val="center"/>
          </w:tcPr>
          <w:p w14:paraId="61C2FD89" w14:textId="77777777" w:rsidR="00325D5B" w:rsidRPr="00E61EF8" w:rsidRDefault="00325D5B" w:rsidP="00E61EF8">
            <w:pPr>
              <w:spacing w:after="120" w:line="360" w:lineRule="auto"/>
              <w:jc w:val="right"/>
              <w:rPr>
                <w:rFonts w:ascii="Arial" w:eastAsia="Arial" w:hAnsi="Arial" w:cs="Arial"/>
                <w:sz w:val="20"/>
                <w:szCs w:val="20"/>
              </w:rPr>
            </w:pPr>
          </w:p>
        </w:tc>
      </w:tr>
      <w:tr w:rsidR="00325D5B" w:rsidRPr="00E61EF8" w14:paraId="23EB38E7" w14:textId="77777777" w:rsidTr="00D7313D">
        <w:trPr>
          <w:gridAfter w:val="1"/>
          <w:wAfter w:w="16" w:type="pct"/>
        </w:trPr>
        <w:tc>
          <w:tcPr>
            <w:tcW w:w="268" w:type="pct"/>
            <w:shd w:val="clear" w:color="auto" w:fill="auto"/>
            <w:tcMar>
              <w:top w:w="0" w:type="dxa"/>
              <w:bottom w:w="0" w:type="dxa"/>
            </w:tcMar>
            <w:vAlign w:val="center"/>
          </w:tcPr>
          <w:p w14:paraId="67AB306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1491" w:type="pct"/>
            <w:shd w:val="clear" w:color="auto" w:fill="auto"/>
            <w:tcMar>
              <w:top w:w="0" w:type="dxa"/>
              <w:bottom w:w="0" w:type="dxa"/>
            </w:tcMar>
            <w:vAlign w:val="center"/>
          </w:tcPr>
          <w:p w14:paraId="2D6C4AF7"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Expenses (Reversal)</w:t>
            </w:r>
          </w:p>
        </w:tc>
        <w:tc>
          <w:tcPr>
            <w:tcW w:w="819" w:type="pct"/>
            <w:shd w:val="clear" w:color="auto" w:fill="auto"/>
            <w:tcMar>
              <w:top w:w="0" w:type="dxa"/>
              <w:bottom w:w="0" w:type="dxa"/>
            </w:tcMar>
            <w:vAlign w:val="center"/>
          </w:tcPr>
          <w:p w14:paraId="2E84A90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115</w:t>
            </w:r>
          </w:p>
        </w:tc>
        <w:tc>
          <w:tcPr>
            <w:tcW w:w="659" w:type="pct"/>
            <w:shd w:val="clear" w:color="auto" w:fill="auto"/>
            <w:tcMar>
              <w:top w:w="0" w:type="dxa"/>
              <w:bottom w:w="0" w:type="dxa"/>
            </w:tcMar>
            <w:vAlign w:val="center"/>
          </w:tcPr>
          <w:p w14:paraId="3254DCA4" w14:textId="77777777" w:rsidR="00325D5B" w:rsidRPr="00E61EF8" w:rsidRDefault="00325D5B" w:rsidP="00E61EF8">
            <w:pPr>
              <w:spacing w:after="120" w:line="360" w:lineRule="auto"/>
              <w:jc w:val="right"/>
              <w:rPr>
                <w:rFonts w:ascii="Arial" w:eastAsia="Arial" w:hAnsi="Arial" w:cs="Arial"/>
                <w:sz w:val="20"/>
                <w:szCs w:val="20"/>
              </w:rPr>
            </w:pPr>
          </w:p>
        </w:tc>
        <w:tc>
          <w:tcPr>
            <w:tcW w:w="806" w:type="pct"/>
            <w:shd w:val="clear" w:color="auto" w:fill="auto"/>
            <w:tcMar>
              <w:top w:w="0" w:type="dxa"/>
              <w:bottom w:w="0" w:type="dxa"/>
            </w:tcMar>
            <w:vAlign w:val="center"/>
          </w:tcPr>
          <w:p w14:paraId="7CA13F6A" w14:textId="77777777" w:rsidR="00325D5B" w:rsidRPr="00E61EF8" w:rsidRDefault="00325D5B" w:rsidP="00E61EF8">
            <w:pPr>
              <w:spacing w:after="120" w:line="360" w:lineRule="auto"/>
              <w:jc w:val="right"/>
              <w:rPr>
                <w:rFonts w:ascii="Arial" w:eastAsia="Arial" w:hAnsi="Arial" w:cs="Arial"/>
                <w:sz w:val="20"/>
                <w:szCs w:val="20"/>
              </w:rPr>
            </w:pPr>
          </w:p>
        </w:tc>
        <w:tc>
          <w:tcPr>
            <w:tcW w:w="942" w:type="pct"/>
            <w:shd w:val="clear" w:color="auto" w:fill="auto"/>
            <w:tcMar>
              <w:top w:w="0" w:type="dxa"/>
              <w:bottom w:w="0" w:type="dxa"/>
            </w:tcMar>
            <w:vAlign w:val="center"/>
          </w:tcPr>
          <w:p w14:paraId="510ABC6B" w14:textId="77777777" w:rsidR="00325D5B" w:rsidRPr="00E61EF8" w:rsidRDefault="00325D5B" w:rsidP="00E61EF8">
            <w:pPr>
              <w:spacing w:after="120" w:line="360" w:lineRule="auto"/>
              <w:jc w:val="right"/>
              <w:rPr>
                <w:rFonts w:ascii="Arial" w:eastAsia="Arial" w:hAnsi="Arial" w:cs="Arial"/>
                <w:sz w:val="20"/>
                <w:szCs w:val="20"/>
              </w:rPr>
            </w:pPr>
          </w:p>
        </w:tc>
      </w:tr>
      <w:tr w:rsidR="00325D5B" w:rsidRPr="00E61EF8" w14:paraId="40F909E1" w14:textId="77777777" w:rsidTr="00D7313D">
        <w:trPr>
          <w:gridAfter w:val="1"/>
          <w:wAfter w:w="16" w:type="pct"/>
        </w:trPr>
        <w:tc>
          <w:tcPr>
            <w:tcW w:w="268" w:type="pct"/>
            <w:shd w:val="clear" w:color="auto" w:fill="auto"/>
            <w:tcMar>
              <w:top w:w="0" w:type="dxa"/>
              <w:bottom w:w="0" w:type="dxa"/>
            </w:tcMar>
            <w:vAlign w:val="center"/>
          </w:tcPr>
          <w:p w14:paraId="11F2BC3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1491" w:type="pct"/>
            <w:shd w:val="clear" w:color="auto" w:fill="auto"/>
            <w:tcMar>
              <w:top w:w="0" w:type="dxa"/>
              <w:bottom w:w="0" w:type="dxa"/>
            </w:tcMar>
            <w:vAlign w:val="center"/>
          </w:tcPr>
          <w:p w14:paraId="282AD8E7"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 (=3-4)</w:t>
            </w:r>
          </w:p>
        </w:tc>
        <w:tc>
          <w:tcPr>
            <w:tcW w:w="819" w:type="pct"/>
            <w:shd w:val="clear" w:color="auto" w:fill="auto"/>
            <w:tcMar>
              <w:top w:w="0" w:type="dxa"/>
              <w:bottom w:w="0" w:type="dxa"/>
            </w:tcMar>
            <w:vAlign w:val="center"/>
          </w:tcPr>
          <w:p w14:paraId="0ECFF0B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812</w:t>
            </w:r>
          </w:p>
        </w:tc>
        <w:tc>
          <w:tcPr>
            <w:tcW w:w="659" w:type="pct"/>
            <w:shd w:val="clear" w:color="auto" w:fill="auto"/>
            <w:tcMar>
              <w:top w:w="0" w:type="dxa"/>
              <w:bottom w:w="0" w:type="dxa"/>
            </w:tcMar>
            <w:vAlign w:val="center"/>
          </w:tcPr>
          <w:p w14:paraId="5A53157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960</w:t>
            </w:r>
          </w:p>
        </w:tc>
        <w:tc>
          <w:tcPr>
            <w:tcW w:w="806" w:type="pct"/>
            <w:shd w:val="clear" w:color="auto" w:fill="auto"/>
            <w:tcMar>
              <w:top w:w="0" w:type="dxa"/>
              <w:bottom w:w="0" w:type="dxa"/>
            </w:tcMar>
            <w:vAlign w:val="center"/>
          </w:tcPr>
          <w:p w14:paraId="406B66C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84.6</w:t>
            </w:r>
          </w:p>
        </w:tc>
        <w:tc>
          <w:tcPr>
            <w:tcW w:w="942" w:type="pct"/>
            <w:shd w:val="clear" w:color="auto" w:fill="auto"/>
            <w:tcMar>
              <w:top w:w="0" w:type="dxa"/>
              <w:bottom w:w="0" w:type="dxa"/>
            </w:tcMar>
            <w:vAlign w:val="center"/>
          </w:tcPr>
          <w:p w14:paraId="73528D0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-148</w:t>
            </w:r>
          </w:p>
        </w:tc>
      </w:tr>
    </w:tbl>
    <w:p w14:paraId="2CFCC96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Notes: Results Results; Plan: Plan; Increase/Decrease TH: Actual; KH: Plan; +/-: Increase/Decrease or remaining difference compared to; %:  percentage achieved compared to.</w:t>
      </w:r>
    </w:p>
    <w:p w14:paraId="78C6D432"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Operational safety rates: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54"/>
        <w:gridCol w:w="809"/>
        <w:gridCol w:w="1077"/>
        <w:gridCol w:w="1077"/>
        <w:gridCol w:w="1699"/>
      </w:tblGrid>
      <w:tr w:rsidR="00325D5B" w:rsidRPr="00E61EF8" w14:paraId="262A2DA9" w14:textId="77777777" w:rsidTr="00E61EF8">
        <w:tc>
          <w:tcPr>
            <w:tcW w:w="2555" w:type="pct"/>
            <w:shd w:val="clear" w:color="auto" w:fill="auto"/>
            <w:tcMar>
              <w:top w:w="0" w:type="dxa"/>
              <w:bottom w:w="0" w:type="dxa"/>
            </w:tcMar>
            <w:vAlign w:val="center"/>
          </w:tcPr>
          <w:p w14:paraId="7EC77E5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589" w:type="pct"/>
            <w:shd w:val="clear" w:color="auto" w:fill="auto"/>
            <w:tcMar>
              <w:top w:w="0" w:type="dxa"/>
              <w:bottom w:w="0" w:type="dxa"/>
            </w:tcMar>
            <w:vAlign w:val="center"/>
          </w:tcPr>
          <w:p w14:paraId="4645E8E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2023</w:t>
            </w:r>
          </w:p>
        </w:tc>
        <w:tc>
          <w:tcPr>
            <w:tcW w:w="545" w:type="pct"/>
            <w:shd w:val="clear" w:color="auto" w:fill="auto"/>
            <w:tcMar>
              <w:top w:w="0" w:type="dxa"/>
              <w:bottom w:w="0" w:type="dxa"/>
            </w:tcMar>
            <w:vAlign w:val="center"/>
          </w:tcPr>
          <w:p w14:paraId="0303D888"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State Bank's Regulations</w:t>
            </w:r>
          </w:p>
        </w:tc>
        <w:tc>
          <w:tcPr>
            <w:tcW w:w="628" w:type="pct"/>
            <w:shd w:val="clear" w:color="auto" w:fill="auto"/>
            <w:tcMar>
              <w:top w:w="0" w:type="dxa"/>
              <w:bottom w:w="0" w:type="dxa"/>
            </w:tcMar>
            <w:vAlign w:val="center"/>
          </w:tcPr>
          <w:p w14:paraId="4596963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Compared to Regulations</w:t>
            </w:r>
          </w:p>
        </w:tc>
        <w:tc>
          <w:tcPr>
            <w:tcW w:w="683" w:type="pct"/>
            <w:shd w:val="clear" w:color="auto" w:fill="auto"/>
            <w:tcMar>
              <w:top w:w="0" w:type="dxa"/>
              <w:bottom w:w="0" w:type="dxa"/>
            </w:tcMar>
            <w:vAlign w:val="center"/>
          </w:tcPr>
          <w:p w14:paraId="3D0EDB9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Increase/Decrease of Results</w:t>
            </w:r>
          </w:p>
          <w:p w14:paraId="7E0BCFA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lastRenderedPageBreak/>
              <w:t>2022</w:t>
            </w:r>
          </w:p>
        </w:tc>
      </w:tr>
      <w:tr w:rsidR="00325D5B" w:rsidRPr="00E61EF8" w14:paraId="1B9C85D9" w14:textId="77777777" w:rsidTr="00E61EF8">
        <w:tc>
          <w:tcPr>
            <w:tcW w:w="2555" w:type="pct"/>
            <w:shd w:val="clear" w:color="auto" w:fill="auto"/>
            <w:tcMar>
              <w:top w:w="0" w:type="dxa"/>
              <w:bottom w:w="0" w:type="dxa"/>
            </w:tcMar>
            <w:vAlign w:val="center"/>
          </w:tcPr>
          <w:p w14:paraId="3B2666C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lastRenderedPageBreak/>
              <w:t>Non-performing loan rate as per Circular 11/State's Bank</w:t>
            </w:r>
          </w:p>
        </w:tc>
        <w:tc>
          <w:tcPr>
            <w:tcW w:w="589" w:type="pct"/>
            <w:shd w:val="clear" w:color="auto" w:fill="auto"/>
            <w:tcMar>
              <w:top w:w="0" w:type="dxa"/>
              <w:bottom w:w="0" w:type="dxa"/>
            </w:tcMar>
            <w:vAlign w:val="center"/>
          </w:tcPr>
          <w:p w14:paraId="4B4133C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1.79%</w:t>
            </w:r>
          </w:p>
        </w:tc>
        <w:tc>
          <w:tcPr>
            <w:tcW w:w="545" w:type="pct"/>
            <w:shd w:val="clear" w:color="auto" w:fill="auto"/>
            <w:tcMar>
              <w:top w:w="0" w:type="dxa"/>
              <w:bottom w:w="0" w:type="dxa"/>
            </w:tcMar>
            <w:vAlign w:val="center"/>
          </w:tcPr>
          <w:p w14:paraId="1F6C83E8" w14:textId="77777777" w:rsidR="00325D5B" w:rsidRPr="00E61EF8" w:rsidRDefault="00D7313D" w:rsidP="00E61EF8">
            <w:pPr>
              <w:pBdr>
                <w:top w:val="nil"/>
                <w:left w:val="nil"/>
                <w:bottom w:val="nil"/>
                <w:right w:val="nil"/>
                <w:between w:val="nil"/>
              </w:pBdr>
              <w:spacing w:after="120" w:line="360" w:lineRule="auto"/>
              <w:jc w:val="right"/>
              <w:rPr>
                <w:rFonts w:ascii="Arial" w:eastAsia="Arial" w:hAnsi="Arial" w:cs="Arial"/>
                <w:sz w:val="20"/>
                <w:szCs w:val="20"/>
              </w:rPr>
            </w:pPr>
            <w:sdt>
              <w:sdtPr>
                <w:rPr>
                  <w:rFonts w:ascii="Arial" w:hAnsi="Arial" w:cs="Arial"/>
                  <w:sz w:val="20"/>
                </w:rPr>
                <w:tag w:val="goog_rdk_0"/>
                <w:id w:val="355477662"/>
              </w:sdtPr>
              <w:sdtEndPr/>
              <w:sdtContent>
                <w:r w:rsidR="005223E8">
                  <w:rPr>
                    <w:rFonts w:ascii="Arial" w:hAnsi="Arial"/>
                    <w:sz w:val="20"/>
                  </w:rPr>
                  <w:t>≤ 3%</w:t>
                </w:r>
              </w:sdtContent>
            </w:sdt>
          </w:p>
        </w:tc>
        <w:tc>
          <w:tcPr>
            <w:tcW w:w="628" w:type="pct"/>
            <w:shd w:val="clear" w:color="auto" w:fill="auto"/>
            <w:tcMar>
              <w:top w:w="0" w:type="dxa"/>
              <w:bottom w:w="0" w:type="dxa"/>
            </w:tcMar>
            <w:vAlign w:val="center"/>
          </w:tcPr>
          <w:p w14:paraId="210D259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Achieved</w:t>
            </w:r>
          </w:p>
        </w:tc>
        <w:tc>
          <w:tcPr>
            <w:tcW w:w="683" w:type="pct"/>
            <w:shd w:val="clear" w:color="auto" w:fill="auto"/>
            <w:tcMar>
              <w:top w:w="0" w:type="dxa"/>
              <w:bottom w:w="0" w:type="dxa"/>
            </w:tcMar>
            <w:vAlign w:val="center"/>
          </w:tcPr>
          <w:p w14:paraId="1068B2B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-0.68%</w:t>
            </w:r>
          </w:p>
        </w:tc>
      </w:tr>
      <w:tr w:rsidR="00325D5B" w:rsidRPr="00E61EF8" w14:paraId="61D484C5" w14:textId="77777777" w:rsidTr="00E61EF8">
        <w:tc>
          <w:tcPr>
            <w:tcW w:w="2555" w:type="pct"/>
            <w:shd w:val="clear" w:color="auto" w:fill="auto"/>
            <w:tcMar>
              <w:top w:w="0" w:type="dxa"/>
              <w:bottom w:w="0" w:type="dxa"/>
            </w:tcMar>
            <w:vAlign w:val="center"/>
          </w:tcPr>
          <w:p w14:paraId="5EC7A33B"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Minimum capital adequacy rate - As per Circular 41/State's Bank</w:t>
            </w:r>
          </w:p>
        </w:tc>
        <w:tc>
          <w:tcPr>
            <w:tcW w:w="589" w:type="pct"/>
            <w:shd w:val="clear" w:color="auto" w:fill="auto"/>
            <w:tcMar>
              <w:top w:w="0" w:type="dxa"/>
              <w:bottom w:w="0" w:type="dxa"/>
            </w:tcMar>
            <w:vAlign w:val="center"/>
          </w:tcPr>
          <w:p w14:paraId="2BCE00A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10.39%</w:t>
            </w:r>
          </w:p>
        </w:tc>
        <w:tc>
          <w:tcPr>
            <w:tcW w:w="545" w:type="pct"/>
            <w:shd w:val="clear" w:color="auto" w:fill="auto"/>
            <w:tcMar>
              <w:top w:w="0" w:type="dxa"/>
              <w:bottom w:w="0" w:type="dxa"/>
            </w:tcMar>
            <w:vAlign w:val="center"/>
          </w:tcPr>
          <w:p w14:paraId="18FACD13" w14:textId="77777777" w:rsidR="00325D5B" w:rsidRPr="00E61EF8" w:rsidRDefault="00D7313D" w:rsidP="00E61EF8">
            <w:pPr>
              <w:pBdr>
                <w:top w:val="nil"/>
                <w:left w:val="nil"/>
                <w:bottom w:val="nil"/>
                <w:right w:val="nil"/>
                <w:between w:val="nil"/>
              </w:pBdr>
              <w:spacing w:after="120" w:line="360" w:lineRule="auto"/>
              <w:jc w:val="right"/>
              <w:rPr>
                <w:rFonts w:ascii="Arial" w:eastAsia="Arial" w:hAnsi="Arial" w:cs="Arial"/>
                <w:sz w:val="20"/>
                <w:szCs w:val="20"/>
              </w:rPr>
            </w:pPr>
            <w:sdt>
              <w:sdtPr>
                <w:rPr>
                  <w:rFonts w:ascii="Arial" w:hAnsi="Arial" w:cs="Arial"/>
                  <w:sz w:val="20"/>
                </w:rPr>
                <w:tag w:val="goog_rdk_1"/>
                <w:id w:val="-1861270132"/>
              </w:sdtPr>
              <w:sdtEndPr/>
              <w:sdtContent>
                <w:r w:rsidR="005223E8">
                  <w:rPr>
                    <w:rFonts w:ascii="Arial" w:hAnsi="Arial"/>
                    <w:sz w:val="20"/>
                  </w:rPr>
                  <w:t xml:space="preserve"> ≥ 8%</w:t>
                </w:r>
              </w:sdtContent>
            </w:sdt>
          </w:p>
        </w:tc>
        <w:tc>
          <w:tcPr>
            <w:tcW w:w="628" w:type="pct"/>
            <w:shd w:val="clear" w:color="auto" w:fill="auto"/>
            <w:tcMar>
              <w:top w:w="0" w:type="dxa"/>
              <w:bottom w:w="0" w:type="dxa"/>
            </w:tcMar>
            <w:vAlign w:val="center"/>
          </w:tcPr>
          <w:p w14:paraId="689A084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Achieved</w:t>
            </w:r>
          </w:p>
        </w:tc>
        <w:tc>
          <w:tcPr>
            <w:tcW w:w="683" w:type="pct"/>
            <w:shd w:val="clear" w:color="auto" w:fill="auto"/>
            <w:tcMar>
              <w:top w:w="0" w:type="dxa"/>
              <w:bottom w:w="0" w:type="dxa"/>
            </w:tcMar>
            <w:vAlign w:val="center"/>
          </w:tcPr>
          <w:p w14:paraId="783D46D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0.15%</w:t>
            </w:r>
          </w:p>
        </w:tc>
      </w:tr>
      <w:tr w:rsidR="00325D5B" w:rsidRPr="00E61EF8" w14:paraId="6D986A6F" w14:textId="77777777" w:rsidTr="00E61EF8">
        <w:tc>
          <w:tcPr>
            <w:tcW w:w="2555" w:type="pct"/>
            <w:shd w:val="clear" w:color="auto" w:fill="auto"/>
            <w:tcMar>
              <w:top w:w="0" w:type="dxa"/>
              <w:bottom w:w="0" w:type="dxa"/>
            </w:tcMar>
            <w:vAlign w:val="center"/>
          </w:tcPr>
          <w:p w14:paraId="30F65667"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Loan-to-Deposit Rate</w:t>
            </w:r>
          </w:p>
        </w:tc>
        <w:tc>
          <w:tcPr>
            <w:tcW w:w="589" w:type="pct"/>
            <w:shd w:val="clear" w:color="auto" w:fill="auto"/>
            <w:tcMar>
              <w:top w:w="0" w:type="dxa"/>
              <w:bottom w:w="0" w:type="dxa"/>
            </w:tcMar>
            <w:vAlign w:val="center"/>
          </w:tcPr>
          <w:p w14:paraId="755D894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64.62%</w:t>
            </w:r>
          </w:p>
        </w:tc>
        <w:tc>
          <w:tcPr>
            <w:tcW w:w="545" w:type="pct"/>
            <w:shd w:val="clear" w:color="auto" w:fill="auto"/>
            <w:tcMar>
              <w:top w:w="0" w:type="dxa"/>
              <w:bottom w:w="0" w:type="dxa"/>
            </w:tcMar>
            <w:vAlign w:val="center"/>
          </w:tcPr>
          <w:p w14:paraId="20685D29" w14:textId="77777777" w:rsidR="00325D5B" w:rsidRPr="00E61EF8" w:rsidRDefault="00D7313D" w:rsidP="00E61EF8">
            <w:pPr>
              <w:pBdr>
                <w:top w:val="nil"/>
                <w:left w:val="nil"/>
                <w:bottom w:val="nil"/>
                <w:right w:val="nil"/>
                <w:between w:val="nil"/>
              </w:pBdr>
              <w:spacing w:after="120" w:line="360" w:lineRule="auto"/>
              <w:jc w:val="right"/>
              <w:rPr>
                <w:rFonts w:ascii="Arial" w:eastAsia="Arial" w:hAnsi="Arial" w:cs="Arial"/>
                <w:sz w:val="20"/>
                <w:szCs w:val="20"/>
              </w:rPr>
            </w:pPr>
            <w:sdt>
              <w:sdtPr>
                <w:rPr>
                  <w:rFonts w:ascii="Arial" w:hAnsi="Arial" w:cs="Arial"/>
                  <w:sz w:val="20"/>
                </w:rPr>
                <w:tag w:val="goog_rdk_2"/>
                <w:id w:val="1561134974"/>
              </w:sdtPr>
              <w:sdtEndPr/>
              <w:sdtContent>
                <w:r w:rsidR="005223E8">
                  <w:rPr>
                    <w:rFonts w:ascii="Arial" w:hAnsi="Arial"/>
                    <w:sz w:val="20"/>
                  </w:rPr>
                  <w:t>≤ 85%</w:t>
                </w:r>
              </w:sdtContent>
            </w:sdt>
          </w:p>
        </w:tc>
        <w:tc>
          <w:tcPr>
            <w:tcW w:w="628" w:type="pct"/>
            <w:shd w:val="clear" w:color="auto" w:fill="auto"/>
            <w:tcMar>
              <w:top w:w="0" w:type="dxa"/>
              <w:bottom w:w="0" w:type="dxa"/>
            </w:tcMar>
            <w:vAlign w:val="center"/>
          </w:tcPr>
          <w:p w14:paraId="5ECAA4D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Achieved</w:t>
            </w:r>
          </w:p>
        </w:tc>
        <w:tc>
          <w:tcPr>
            <w:tcW w:w="683" w:type="pct"/>
            <w:shd w:val="clear" w:color="auto" w:fill="auto"/>
            <w:tcMar>
              <w:top w:w="0" w:type="dxa"/>
              <w:bottom w:w="0" w:type="dxa"/>
            </w:tcMar>
            <w:vAlign w:val="center"/>
          </w:tcPr>
          <w:p w14:paraId="1F21C53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1.02%</w:t>
            </w:r>
          </w:p>
        </w:tc>
      </w:tr>
      <w:tr w:rsidR="00325D5B" w:rsidRPr="00E61EF8" w14:paraId="69293663" w14:textId="77777777" w:rsidTr="00E61EF8">
        <w:tc>
          <w:tcPr>
            <w:tcW w:w="2555" w:type="pct"/>
            <w:shd w:val="clear" w:color="auto" w:fill="auto"/>
            <w:tcMar>
              <w:top w:w="0" w:type="dxa"/>
              <w:bottom w:w="0" w:type="dxa"/>
            </w:tcMar>
            <w:vAlign w:val="center"/>
          </w:tcPr>
          <w:p w14:paraId="0B3803C9"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Bank's short-term funds used for medium and long-term loans rate</w:t>
            </w:r>
          </w:p>
        </w:tc>
        <w:tc>
          <w:tcPr>
            <w:tcW w:w="589" w:type="pct"/>
            <w:shd w:val="clear" w:color="auto" w:fill="auto"/>
            <w:tcMar>
              <w:top w:w="0" w:type="dxa"/>
              <w:bottom w:w="0" w:type="dxa"/>
            </w:tcMar>
            <w:vAlign w:val="center"/>
          </w:tcPr>
          <w:p w14:paraId="7EF5F96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13.37%</w:t>
            </w:r>
          </w:p>
        </w:tc>
        <w:tc>
          <w:tcPr>
            <w:tcW w:w="545" w:type="pct"/>
            <w:shd w:val="clear" w:color="auto" w:fill="auto"/>
            <w:tcMar>
              <w:top w:w="0" w:type="dxa"/>
              <w:bottom w:w="0" w:type="dxa"/>
            </w:tcMar>
            <w:vAlign w:val="center"/>
          </w:tcPr>
          <w:p w14:paraId="3D6CE364" w14:textId="77777777" w:rsidR="00325D5B" w:rsidRPr="00E61EF8" w:rsidRDefault="00D7313D" w:rsidP="00E61EF8">
            <w:pPr>
              <w:pBdr>
                <w:top w:val="nil"/>
                <w:left w:val="nil"/>
                <w:bottom w:val="nil"/>
                <w:right w:val="nil"/>
                <w:between w:val="nil"/>
              </w:pBdr>
              <w:spacing w:after="120" w:line="360" w:lineRule="auto"/>
              <w:jc w:val="right"/>
              <w:rPr>
                <w:rFonts w:ascii="Arial" w:eastAsia="Arial" w:hAnsi="Arial" w:cs="Arial"/>
                <w:sz w:val="20"/>
                <w:szCs w:val="20"/>
              </w:rPr>
            </w:pPr>
            <w:sdt>
              <w:sdtPr>
                <w:rPr>
                  <w:rFonts w:ascii="Arial" w:hAnsi="Arial" w:cs="Arial"/>
                  <w:sz w:val="20"/>
                </w:rPr>
                <w:tag w:val="goog_rdk_3"/>
                <w:id w:val="-1257816167"/>
              </w:sdtPr>
              <w:sdtEndPr/>
              <w:sdtContent>
                <w:r w:rsidR="005223E8">
                  <w:rPr>
                    <w:rFonts w:ascii="Arial" w:hAnsi="Arial"/>
                    <w:sz w:val="20"/>
                  </w:rPr>
                  <w:t>≤ 30%</w:t>
                </w:r>
              </w:sdtContent>
            </w:sdt>
          </w:p>
        </w:tc>
        <w:tc>
          <w:tcPr>
            <w:tcW w:w="628" w:type="pct"/>
            <w:shd w:val="clear" w:color="auto" w:fill="auto"/>
            <w:tcMar>
              <w:top w:w="0" w:type="dxa"/>
              <w:bottom w:w="0" w:type="dxa"/>
            </w:tcMar>
            <w:vAlign w:val="center"/>
          </w:tcPr>
          <w:p w14:paraId="155C559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Achieved</w:t>
            </w:r>
          </w:p>
        </w:tc>
        <w:tc>
          <w:tcPr>
            <w:tcW w:w="683" w:type="pct"/>
            <w:shd w:val="clear" w:color="auto" w:fill="auto"/>
            <w:tcMar>
              <w:top w:w="0" w:type="dxa"/>
              <w:bottom w:w="0" w:type="dxa"/>
            </w:tcMar>
            <w:vAlign w:val="center"/>
          </w:tcPr>
          <w:p w14:paraId="124B2DD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-19.73%</w:t>
            </w:r>
          </w:p>
        </w:tc>
      </w:tr>
    </w:tbl>
    <w:p w14:paraId="6D186C2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Notes: Non-performing loan rate in 2023 and 2022 as per regulations in Circular 11/State's Bank</w:t>
      </w:r>
    </w:p>
    <w:p w14:paraId="5CF9D521" w14:textId="77777777" w:rsidR="00325D5B" w:rsidRPr="00E61EF8" w:rsidRDefault="005223E8" w:rsidP="00E61EF8">
      <w:pPr>
        <w:numPr>
          <w:ilvl w:val="0"/>
          <w:numId w:val="14"/>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The business plan for 2024:</w:t>
      </w:r>
    </w:p>
    <w:p w14:paraId="77723F68"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Base plan:</w:t>
      </w:r>
    </w:p>
    <w:p w14:paraId="74F7729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Billion VND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84"/>
        <w:gridCol w:w="1228"/>
        <w:gridCol w:w="1188"/>
        <w:gridCol w:w="1214"/>
        <w:gridCol w:w="1302"/>
      </w:tblGrid>
      <w:tr w:rsidR="00325D5B" w:rsidRPr="00E61EF8" w14:paraId="6B4CFCB0" w14:textId="77777777" w:rsidTr="00E61EF8">
        <w:tc>
          <w:tcPr>
            <w:tcW w:w="2265" w:type="pct"/>
            <w:shd w:val="clear" w:color="auto" w:fill="auto"/>
            <w:tcMar>
              <w:top w:w="0" w:type="dxa"/>
              <w:bottom w:w="0" w:type="dxa"/>
            </w:tcMar>
            <w:vAlign w:val="center"/>
          </w:tcPr>
          <w:p w14:paraId="53F4D85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681" w:type="pct"/>
            <w:shd w:val="clear" w:color="auto" w:fill="auto"/>
            <w:tcMar>
              <w:top w:w="0" w:type="dxa"/>
              <w:bottom w:w="0" w:type="dxa"/>
            </w:tcMar>
            <w:vAlign w:val="center"/>
          </w:tcPr>
          <w:p w14:paraId="731D2DD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Base Plan 2024 </w:t>
            </w:r>
          </w:p>
        </w:tc>
        <w:tc>
          <w:tcPr>
            <w:tcW w:w="659" w:type="pct"/>
            <w:shd w:val="clear" w:color="auto" w:fill="auto"/>
            <w:tcMar>
              <w:top w:w="0" w:type="dxa"/>
              <w:bottom w:w="0" w:type="dxa"/>
            </w:tcMar>
            <w:vAlign w:val="center"/>
          </w:tcPr>
          <w:p w14:paraId="41748AF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Results 2023</w:t>
            </w:r>
          </w:p>
        </w:tc>
        <w:tc>
          <w:tcPr>
            <w:tcW w:w="673" w:type="pct"/>
            <w:shd w:val="clear" w:color="auto" w:fill="auto"/>
            <w:tcMar>
              <w:top w:w="0" w:type="dxa"/>
              <w:bottom w:w="0" w:type="dxa"/>
            </w:tcMar>
            <w:vAlign w:val="center"/>
          </w:tcPr>
          <w:p w14:paraId="2F03008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Increase vs. 2023</w:t>
            </w:r>
          </w:p>
        </w:tc>
        <w:tc>
          <w:tcPr>
            <w:tcW w:w="722" w:type="pct"/>
            <w:shd w:val="clear" w:color="auto" w:fill="auto"/>
            <w:tcMar>
              <w:top w:w="0" w:type="dxa"/>
              <w:bottom w:w="0" w:type="dxa"/>
            </w:tcMar>
            <w:vAlign w:val="center"/>
          </w:tcPr>
          <w:p w14:paraId="21378DF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 Increase vs. 2023 </w:t>
            </w:r>
          </w:p>
        </w:tc>
      </w:tr>
      <w:tr w:rsidR="00325D5B" w:rsidRPr="00E61EF8" w14:paraId="73B6F74E" w14:textId="77777777" w:rsidTr="00E61EF8">
        <w:tc>
          <w:tcPr>
            <w:tcW w:w="2265" w:type="pct"/>
            <w:shd w:val="clear" w:color="auto" w:fill="auto"/>
            <w:tcMar>
              <w:top w:w="0" w:type="dxa"/>
              <w:bottom w:w="0" w:type="dxa"/>
            </w:tcMar>
            <w:vAlign w:val="center"/>
          </w:tcPr>
          <w:p w14:paraId="0386D73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p>
        </w:tc>
        <w:tc>
          <w:tcPr>
            <w:tcW w:w="681" w:type="pct"/>
            <w:shd w:val="clear" w:color="auto" w:fill="auto"/>
            <w:tcMar>
              <w:top w:w="0" w:type="dxa"/>
              <w:bottom w:w="0" w:type="dxa"/>
            </w:tcMar>
            <w:vAlign w:val="center"/>
          </w:tcPr>
          <w:p w14:paraId="66FBF6D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145,000</w:t>
            </w:r>
          </w:p>
        </w:tc>
        <w:tc>
          <w:tcPr>
            <w:tcW w:w="659" w:type="pct"/>
            <w:shd w:val="clear" w:color="auto" w:fill="auto"/>
            <w:tcMar>
              <w:top w:w="0" w:type="dxa"/>
              <w:bottom w:w="0" w:type="dxa"/>
            </w:tcMar>
            <w:vAlign w:val="center"/>
          </w:tcPr>
          <w:p w14:paraId="6B3921A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138,258</w:t>
            </w:r>
          </w:p>
        </w:tc>
        <w:tc>
          <w:tcPr>
            <w:tcW w:w="673" w:type="pct"/>
            <w:shd w:val="clear" w:color="auto" w:fill="auto"/>
            <w:tcMar>
              <w:top w:w="0" w:type="dxa"/>
              <w:bottom w:w="0" w:type="dxa"/>
            </w:tcMar>
            <w:vAlign w:val="center"/>
          </w:tcPr>
          <w:p w14:paraId="09CC8FB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6,742</w:t>
            </w:r>
          </w:p>
        </w:tc>
        <w:tc>
          <w:tcPr>
            <w:tcW w:w="722" w:type="pct"/>
            <w:shd w:val="clear" w:color="auto" w:fill="auto"/>
            <w:tcMar>
              <w:top w:w="0" w:type="dxa"/>
              <w:bottom w:w="0" w:type="dxa"/>
            </w:tcMar>
            <w:vAlign w:val="center"/>
          </w:tcPr>
          <w:p w14:paraId="07B2DC3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5</w:t>
            </w:r>
          </w:p>
        </w:tc>
      </w:tr>
      <w:tr w:rsidR="00325D5B" w:rsidRPr="00E61EF8" w14:paraId="3C016533" w14:textId="77777777" w:rsidTr="00E61EF8">
        <w:tc>
          <w:tcPr>
            <w:tcW w:w="2265" w:type="pct"/>
            <w:shd w:val="clear" w:color="auto" w:fill="auto"/>
            <w:tcMar>
              <w:top w:w="0" w:type="dxa"/>
              <w:bottom w:w="0" w:type="dxa"/>
            </w:tcMar>
            <w:vAlign w:val="center"/>
          </w:tcPr>
          <w:p w14:paraId="4D3A568F"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Mobilize from customers (including valuable papers)</w:t>
            </w:r>
          </w:p>
        </w:tc>
        <w:tc>
          <w:tcPr>
            <w:tcW w:w="681" w:type="pct"/>
            <w:shd w:val="clear" w:color="auto" w:fill="auto"/>
            <w:tcMar>
              <w:top w:w="0" w:type="dxa"/>
              <w:bottom w:w="0" w:type="dxa"/>
            </w:tcMar>
            <w:vAlign w:val="center"/>
          </w:tcPr>
          <w:p w14:paraId="5217831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110,000</w:t>
            </w:r>
          </w:p>
        </w:tc>
        <w:tc>
          <w:tcPr>
            <w:tcW w:w="659" w:type="pct"/>
            <w:shd w:val="clear" w:color="auto" w:fill="auto"/>
            <w:tcMar>
              <w:top w:w="0" w:type="dxa"/>
              <w:bottom w:w="0" w:type="dxa"/>
            </w:tcMar>
            <w:vAlign w:val="center"/>
          </w:tcPr>
          <w:p w14:paraId="6B0CECB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101,547</w:t>
            </w:r>
          </w:p>
        </w:tc>
        <w:tc>
          <w:tcPr>
            <w:tcW w:w="673" w:type="pct"/>
            <w:shd w:val="clear" w:color="auto" w:fill="auto"/>
            <w:tcMar>
              <w:top w:w="0" w:type="dxa"/>
              <w:bottom w:w="0" w:type="dxa"/>
            </w:tcMar>
            <w:vAlign w:val="center"/>
          </w:tcPr>
          <w:p w14:paraId="69E1D66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8,453</w:t>
            </w:r>
          </w:p>
        </w:tc>
        <w:tc>
          <w:tcPr>
            <w:tcW w:w="722" w:type="pct"/>
            <w:shd w:val="clear" w:color="auto" w:fill="auto"/>
            <w:tcMar>
              <w:top w:w="0" w:type="dxa"/>
              <w:bottom w:w="0" w:type="dxa"/>
            </w:tcMar>
            <w:vAlign w:val="center"/>
          </w:tcPr>
          <w:p w14:paraId="17EB615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w:t>
            </w:r>
          </w:p>
        </w:tc>
      </w:tr>
      <w:tr w:rsidR="00325D5B" w:rsidRPr="00E61EF8" w14:paraId="68557B47" w14:textId="77777777" w:rsidTr="00E61EF8">
        <w:tc>
          <w:tcPr>
            <w:tcW w:w="2265" w:type="pct"/>
            <w:shd w:val="clear" w:color="auto" w:fill="auto"/>
            <w:tcMar>
              <w:top w:w="0" w:type="dxa"/>
              <w:bottom w:w="0" w:type="dxa"/>
            </w:tcMar>
            <w:vAlign w:val="center"/>
          </w:tcPr>
          <w:p w14:paraId="1C942A4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loan amount</w:t>
            </w:r>
          </w:p>
        </w:tc>
        <w:tc>
          <w:tcPr>
            <w:tcW w:w="681" w:type="pct"/>
            <w:shd w:val="clear" w:color="auto" w:fill="auto"/>
            <w:tcMar>
              <w:top w:w="0" w:type="dxa"/>
              <w:bottom w:w="0" w:type="dxa"/>
            </w:tcMar>
            <w:vAlign w:val="center"/>
          </w:tcPr>
          <w:p w14:paraId="7B26839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90,000 (*)</w:t>
            </w:r>
          </w:p>
        </w:tc>
        <w:tc>
          <w:tcPr>
            <w:tcW w:w="659" w:type="pct"/>
            <w:shd w:val="clear" w:color="auto" w:fill="auto"/>
            <w:tcMar>
              <w:top w:w="0" w:type="dxa"/>
              <w:bottom w:w="0" w:type="dxa"/>
            </w:tcMar>
            <w:vAlign w:val="center"/>
          </w:tcPr>
          <w:p w14:paraId="0F94031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w:t>
            </w:r>
          </w:p>
        </w:tc>
        <w:tc>
          <w:tcPr>
            <w:tcW w:w="673" w:type="pct"/>
            <w:shd w:val="clear" w:color="auto" w:fill="auto"/>
            <w:tcMar>
              <w:top w:w="0" w:type="dxa"/>
              <w:bottom w:w="0" w:type="dxa"/>
            </w:tcMar>
            <w:vAlign w:val="center"/>
          </w:tcPr>
          <w:p w14:paraId="3C484AB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9,246</w:t>
            </w:r>
          </w:p>
        </w:tc>
        <w:tc>
          <w:tcPr>
            <w:tcW w:w="722" w:type="pct"/>
            <w:shd w:val="clear" w:color="auto" w:fill="auto"/>
            <w:tcMar>
              <w:top w:w="0" w:type="dxa"/>
              <w:bottom w:w="0" w:type="dxa"/>
            </w:tcMar>
            <w:vAlign w:val="center"/>
          </w:tcPr>
          <w:p w14:paraId="3C67773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w:t>
            </w:r>
          </w:p>
        </w:tc>
      </w:tr>
      <w:tr w:rsidR="00325D5B" w:rsidRPr="00E61EF8" w14:paraId="2E521229" w14:textId="77777777" w:rsidTr="00E61EF8">
        <w:tc>
          <w:tcPr>
            <w:tcW w:w="2265" w:type="pct"/>
            <w:shd w:val="clear" w:color="auto" w:fill="auto"/>
            <w:tcMar>
              <w:top w:w="0" w:type="dxa"/>
              <w:bottom w:w="0" w:type="dxa"/>
            </w:tcMar>
            <w:vAlign w:val="center"/>
          </w:tcPr>
          <w:p w14:paraId="32674E2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Investment securities portfolio</w:t>
            </w:r>
          </w:p>
        </w:tc>
        <w:tc>
          <w:tcPr>
            <w:tcW w:w="681" w:type="pct"/>
            <w:shd w:val="clear" w:color="auto" w:fill="auto"/>
            <w:tcMar>
              <w:top w:w="0" w:type="dxa"/>
              <w:bottom w:w="0" w:type="dxa"/>
            </w:tcMar>
            <w:vAlign w:val="center"/>
          </w:tcPr>
          <w:p w14:paraId="402CFAB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23,750</w:t>
            </w:r>
          </w:p>
        </w:tc>
        <w:tc>
          <w:tcPr>
            <w:tcW w:w="659" w:type="pct"/>
            <w:shd w:val="clear" w:color="auto" w:fill="auto"/>
            <w:tcMar>
              <w:top w:w="0" w:type="dxa"/>
              <w:bottom w:w="0" w:type="dxa"/>
            </w:tcMar>
            <w:vAlign w:val="center"/>
          </w:tcPr>
          <w:p w14:paraId="189B173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17,517</w:t>
            </w:r>
          </w:p>
        </w:tc>
        <w:tc>
          <w:tcPr>
            <w:tcW w:w="673" w:type="pct"/>
            <w:shd w:val="clear" w:color="auto" w:fill="auto"/>
            <w:tcMar>
              <w:top w:w="0" w:type="dxa"/>
              <w:bottom w:w="0" w:type="dxa"/>
            </w:tcMar>
            <w:vAlign w:val="center"/>
          </w:tcPr>
          <w:p w14:paraId="10D5B56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6,233</w:t>
            </w:r>
          </w:p>
        </w:tc>
        <w:tc>
          <w:tcPr>
            <w:tcW w:w="722" w:type="pct"/>
            <w:shd w:val="clear" w:color="auto" w:fill="auto"/>
            <w:tcMar>
              <w:top w:w="0" w:type="dxa"/>
              <w:bottom w:w="0" w:type="dxa"/>
            </w:tcMar>
            <w:vAlign w:val="center"/>
          </w:tcPr>
          <w:p w14:paraId="719CFAE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36</w:t>
            </w:r>
          </w:p>
        </w:tc>
      </w:tr>
      <w:tr w:rsidR="00325D5B" w:rsidRPr="00E61EF8" w14:paraId="01D52C7F" w14:textId="77777777" w:rsidTr="00E61EF8">
        <w:tc>
          <w:tcPr>
            <w:tcW w:w="2265" w:type="pct"/>
            <w:shd w:val="clear" w:color="auto" w:fill="auto"/>
            <w:tcMar>
              <w:top w:w="0" w:type="dxa"/>
              <w:bottom w:w="0" w:type="dxa"/>
            </w:tcMar>
            <w:vAlign w:val="center"/>
          </w:tcPr>
          <w:p w14:paraId="1D8F893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w:t>
            </w:r>
          </w:p>
        </w:tc>
        <w:tc>
          <w:tcPr>
            <w:tcW w:w="681" w:type="pct"/>
            <w:shd w:val="clear" w:color="auto" w:fill="auto"/>
            <w:tcMar>
              <w:top w:w="0" w:type="dxa"/>
              <w:bottom w:w="0" w:type="dxa"/>
            </w:tcMar>
            <w:vAlign w:val="center"/>
          </w:tcPr>
          <w:p w14:paraId="268EA532"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950</w:t>
            </w:r>
          </w:p>
        </w:tc>
        <w:tc>
          <w:tcPr>
            <w:tcW w:w="659" w:type="pct"/>
            <w:shd w:val="clear" w:color="auto" w:fill="auto"/>
            <w:tcMar>
              <w:top w:w="0" w:type="dxa"/>
              <w:bottom w:w="0" w:type="dxa"/>
            </w:tcMar>
            <w:vAlign w:val="center"/>
          </w:tcPr>
          <w:p w14:paraId="49642FD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812</w:t>
            </w:r>
          </w:p>
        </w:tc>
        <w:tc>
          <w:tcPr>
            <w:tcW w:w="673" w:type="pct"/>
            <w:shd w:val="clear" w:color="auto" w:fill="auto"/>
            <w:tcMar>
              <w:top w:w="0" w:type="dxa"/>
              <w:bottom w:w="0" w:type="dxa"/>
            </w:tcMar>
            <w:vAlign w:val="center"/>
          </w:tcPr>
          <w:p w14:paraId="238BA87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w:t>
            </w:r>
          </w:p>
        </w:tc>
        <w:tc>
          <w:tcPr>
            <w:tcW w:w="722" w:type="pct"/>
            <w:shd w:val="clear" w:color="auto" w:fill="auto"/>
            <w:tcMar>
              <w:top w:w="0" w:type="dxa"/>
              <w:bottom w:w="0" w:type="dxa"/>
            </w:tcMar>
            <w:vAlign w:val="center"/>
          </w:tcPr>
          <w:p w14:paraId="3FCBA06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w:t>
            </w:r>
          </w:p>
        </w:tc>
      </w:tr>
      <w:tr w:rsidR="00325D5B" w:rsidRPr="00E61EF8" w14:paraId="10416F11" w14:textId="77777777" w:rsidTr="00E61EF8">
        <w:tc>
          <w:tcPr>
            <w:tcW w:w="2265" w:type="pct"/>
            <w:shd w:val="clear" w:color="auto" w:fill="auto"/>
            <w:tcMar>
              <w:top w:w="0" w:type="dxa"/>
              <w:bottom w:w="0" w:type="dxa"/>
            </w:tcMar>
            <w:vAlign w:val="center"/>
          </w:tcPr>
          <w:p w14:paraId="6A18A388"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Non-performing loan rate (N345/Total credit exposure as per Circular 11/State's Bank) </w:t>
            </w:r>
          </w:p>
        </w:tc>
        <w:tc>
          <w:tcPr>
            <w:tcW w:w="681" w:type="pct"/>
            <w:shd w:val="clear" w:color="auto" w:fill="auto"/>
            <w:tcMar>
              <w:top w:w="0" w:type="dxa"/>
              <w:bottom w:w="0" w:type="dxa"/>
            </w:tcMar>
            <w:vAlign w:val="center"/>
          </w:tcPr>
          <w:p w14:paraId="4E46765E" w14:textId="77777777" w:rsidR="00325D5B" w:rsidRPr="00E61EF8" w:rsidRDefault="00D7313D" w:rsidP="00E61EF8">
            <w:pPr>
              <w:pBdr>
                <w:top w:val="nil"/>
                <w:left w:val="nil"/>
                <w:bottom w:val="nil"/>
                <w:right w:val="nil"/>
                <w:between w:val="nil"/>
              </w:pBdr>
              <w:spacing w:after="120" w:line="360" w:lineRule="auto"/>
              <w:jc w:val="right"/>
              <w:rPr>
                <w:rFonts w:ascii="Arial" w:eastAsia="Arial" w:hAnsi="Arial" w:cs="Arial"/>
                <w:sz w:val="20"/>
                <w:szCs w:val="20"/>
              </w:rPr>
            </w:pPr>
            <w:sdt>
              <w:sdtPr>
                <w:rPr>
                  <w:rFonts w:ascii="Arial" w:hAnsi="Arial" w:cs="Arial"/>
                  <w:sz w:val="20"/>
                </w:rPr>
                <w:tag w:val="goog_rdk_4"/>
                <w:id w:val="323327010"/>
              </w:sdtPr>
              <w:sdtEndPr/>
              <w:sdtContent>
                <w:r w:rsidR="005223E8">
                  <w:rPr>
                    <w:rFonts w:ascii="Arial" w:hAnsi="Arial"/>
                    <w:sz w:val="20"/>
                  </w:rPr>
                  <w:t>≤ 2.5%</w:t>
                </w:r>
              </w:sdtContent>
            </w:sdt>
          </w:p>
        </w:tc>
        <w:tc>
          <w:tcPr>
            <w:tcW w:w="659" w:type="pct"/>
            <w:shd w:val="clear" w:color="auto" w:fill="auto"/>
            <w:tcMar>
              <w:top w:w="0" w:type="dxa"/>
              <w:bottom w:w="0" w:type="dxa"/>
            </w:tcMar>
            <w:vAlign w:val="center"/>
          </w:tcPr>
          <w:p w14:paraId="0037DC7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1.79%</w:t>
            </w:r>
          </w:p>
        </w:tc>
        <w:tc>
          <w:tcPr>
            <w:tcW w:w="673" w:type="pct"/>
            <w:shd w:val="clear" w:color="auto" w:fill="auto"/>
            <w:tcMar>
              <w:top w:w="0" w:type="dxa"/>
              <w:bottom w:w="0" w:type="dxa"/>
            </w:tcMar>
            <w:vAlign w:val="center"/>
          </w:tcPr>
          <w:p w14:paraId="7A10FB9E" w14:textId="77777777" w:rsidR="00325D5B" w:rsidRPr="00E61EF8" w:rsidRDefault="00325D5B" w:rsidP="00E61EF8">
            <w:pPr>
              <w:spacing w:after="120" w:line="360" w:lineRule="auto"/>
              <w:jc w:val="right"/>
              <w:rPr>
                <w:rFonts w:ascii="Arial" w:eastAsia="Arial" w:hAnsi="Arial" w:cs="Arial"/>
                <w:sz w:val="20"/>
                <w:szCs w:val="20"/>
              </w:rPr>
            </w:pPr>
          </w:p>
        </w:tc>
        <w:tc>
          <w:tcPr>
            <w:tcW w:w="722" w:type="pct"/>
            <w:shd w:val="clear" w:color="auto" w:fill="auto"/>
            <w:tcMar>
              <w:top w:w="0" w:type="dxa"/>
              <w:bottom w:w="0" w:type="dxa"/>
            </w:tcMar>
            <w:vAlign w:val="center"/>
          </w:tcPr>
          <w:p w14:paraId="7891E66A" w14:textId="77777777" w:rsidR="00325D5B" w:rsidRPr="00E61EF8" w:rsidRDefault="00325D5B" w:rsidP="00E61EF8">
            <w:pPr>
              <w:spacing w:after="120" w:line="360" w:lineRule="auto"/>
              <w:jc w:val="right"/>
              <w:rPr>
                <w:rFonts w:ascii="Arial" w:eastAsia="Arial" w:hAnsi="Arial" w:cs="Arial"/>
                <w:sz w:val="20"/>
                <w:szCs w:val="20"/>
              </w:rPr>
            </w:pPr>
          </w:p>
        </w:tc>
      </w:tr>
    </w:tbl>
    <w:p w14:paraId="394E8AB6"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Aspirational plan:</w:t>
      </w:r>
    </w:p>
    <w:p w14:paraId="152C300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Billion VND</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90"/>
        <w:gridCol w:w="1224"/>
        <w:gridCol w:w="1239"/>
        <w:gridCol w:w="1235"/>
        <w:gridCol w:w="1228"/>
      </w:tblGrid>
      <w:tr w:rsidR="00325D5B" w:rsidRPr="00E61EF8" w14:paraId="4AA62441" w14:textId="77777777" w:rsidTr="00E61EF8">
        <w:tc>
          <w:tcPr>
            <w:tcW w:w="2268" w:type="pct"/>
            <w:shd w:val="clear" w:color="auto" w:fill="auto"/>
            <w:tcMar>
              <w:top w:w="0" w:type="dxa"/>
              <w:bottom w:w="0" w:type="dxa"/>
            </w:tcMar>
            <w:vAlign w:val="center"/>
          </w:tcPr>
          <w:p w14:paraId="5B3C2495"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679" w:type="pct"/>
            <w:shd w:val="clear" w:color="auto" w:fill="auto"/>
            <w:tcMar>
              <w:top w:w="0" w:type="dxa"/>
              <w:bottom w:w="0" w:type="dxa"/>
            </w:tcMar>
            <w:vAlign w:val="center"/>
          </w:tcPr>
          <w:p w14:paraId="2D545B5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xml:space="preserve">Aspirational Plan 2024 </w:t>
            </w:r>
          </w:p>
        </w:tc>
        <w:tc>
          <w:tcPr>
            <w:tcW w:w="687" w:type="pct"/>
            <w:shd w:val="clear" w:color="auto" w:fill="auto"/>
            <w:tcMar>
              <w:top w:w="0" w:type="dxa"/>
              <w:bottom w:w="0" w:type="dxa"/>
            </w:tcMar>
            <w:vAlign w:val="center"/>
          </w:tcPr>
          <w:p w14:paraId="18420CE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Results 2023</w:t>
            </w:r>
          </w:p>
        </w:tc>
        <w:tc>
          <w:tcPr>
            <w:tcW w:w="685" w:type="pct"/>
            <w:shd w:val="clear" w:color="auto" w:fill="auto"/>
            <w:tcMar>
              <w:top w:w="0" w:type="dxa"/>
              <w:bottom w:w="0" w:type="dxa"/>
            </w:tcMar>
            <w:vAlign w:val="center"/>
          </w:tcPr>
          <w:p w14:paraId="38F6A98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Increase vs. 2023</w:t>
            </w:r>
          </w:p>
        </w:tc>
        <w:tc>
          <w:tcPr>
            <w:tcW w:w="681" w:type="pct"/>
            <w:shd w:val="clear" w:color="auto" w:fill="auto"/>
            <w:tcMar>
              <w:top w:w="0" w:type="dxa"/>
              <w:bottom w:w="0" w:type="dxa"/>
            </w:tcMar>
            <w:vAlign w:val="center"/>
          </w:tcPr>
          <w:p w14:paraId="69D27A2E"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 Increase vs. 2023</w:t>
            </w:r>
          </w:p>
        </w:tc>
      </w:tr>
      <w:tr w:rsidR="00325D5B" w:rsidRPr="00E61EF8" w14:paraId="39560887" w14:textId="77777777" w:rsidTr="00E61EF8">
        <w:tc>
          <w:tcPr>
            <w:tcW w:w="2268" w:type="pct"/>
            <w:shd w:val="clear" w:color="auto" w:fill="auto"/>
            <w:tcMar>
              <w:top w:w="0" w:type="dxa"/>
              <w:bottom w:w="0" w:type="dxa"/>
            </w:tcMar>
            <w:vAlign w:val="center"/>
          </w:tcPr>
          <w:p w14:paraId="62C9C0E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p>
        </w:tc>
        <w:tc>
          <w:tcPr>
            <w:tcW w:w="679" w:type="pct"/>
            <w:shd w:val="clear" w:color="auto" w:fill="auto"/>
            <w:tcMar>
              <w:top w:w="0" w:type="dxa"/>
              <w:bottom w:w="0" w:type="dxa"/>
            </w:tcMar>
            <w:vAlign w:val="center"/>
          </w:tcPr>
          <w:p w14:paraId="70F96DD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150,000</w:t>
            </w:r>
          </w:p>
        </w:tc>
        <w:tc>
          <w:tcPr>
            <w:tcW w:w="687" w:type="pct"/>
            <w:shd w:val="clear" w:color="auto" w:fill="auto"/>
            <w:tcMar>
              <w:top w:w="0" w:type="dxa"/>
              <w:bottom w:w="0" w:type="dxa"/>
            </w:tcMar>
            <w:vAlign w:val="center"/>
          </w:tcPr>
          <w:p w14:paraId="2BF71BAF"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138,258</w:t>
            </w:r>
          </w:p>
        </w:tc>
        <w:tc>
          <w:tcPr>
            <w:tcW w:w="685" w:type="pct"/>
            <w:shd w:val="clear" w:color="auto" w:fill="auto"/>
            <w:tcMar>
              <w:top w:w="0" w:type="dxa"/>
              <w:bottom w:w="0" w:type="dxa"/>
            </w:tcMar>
            <w:vAlign w:val="center"/>
          </w:tcPr>
          <w:p w14:paraId="41EDCEEF"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11,742</w:t>
            </w:r>
          </w:p>
        </w:tc>
        <w:tc>
          <w:tcPr>
            <w:tcW w:w="681" w:type="pct"/>
            <w:shd w:val="clear" w:color="auto" w:fill="auto"/>
            <w:tcMar>
              <w:top w:w="0" w:type="dxa"/>
              <w:bottom w:w="0" w:type="dxa"/>
            </w:tcMar>
            <w:vAlign w:val="center"/>
          </w:tcPr>
          <w:p w14:paraId="5B286FC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w:t>
            </w:r>
          </w:p>
        </w:tc>
      </w:tr>
      <w:tr w:rsidR="00325D5B" w:rsidRPr="00E61EF8" w14:paraId="6A3035A7" w14:textId="77777777" w:rsidTr="00E61EF8">
        <w:tc>
          <w:tcPr>
            <w:tcW w:w="2268" w:type="pct"/>
            <w:shd w:val="clear" w:color="auto" w:fill="auto"/>
            <w:tcMar>
              <w:top w:w="0" w:type="dxa"/>
              <w:bottom w:w="0" w:type="dxa"/>
            </w:tcMar>
            <w:vAlign w:val="center"/>
          </w:tcPr>
          <w:p w14:paraId="349202F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Mobilize from customers (including valuable papers)</w:t>
            </w:r>
          </w:p>
        </w:tc>
        <w:tc>
          <w:tcPr>
            <w:tcW w:w="679" w:type="pct"/>
            <w:shd w:val="clear" w:color="auto" w:fill="auto"/>
            <w:tcMar>
              <w:top w:w="0" w:type="dxa"/>
              <w:bottom w:w="0" w:type="dxa"/>
            </w:tcMar>
            <w:vAlign w:val="center"/>
          </w:tcPr>
          <w:p w14:paraId="6088114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116,000</w:t>
            </w:r>
          </w:p>
        </w:tc>
        <w:tc>
          <w:tcPr>
            <w:tcW w:w="687" w:type="pct"/>
            <w:shd w:val="clear" w:color="auto" w:fill="auto"/>
            <w:tcMar>
              <w:top w:w="0" w:type="dxa"/>
              <w:bottom w:w="0" w:type="dxa"/>
            </w:tcMar>
            <w:vAlign w:val="center"/>
          </w:tcPr>
          <w:p w14:paraId="5F0C757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101,547</w:t>
            </w:r>
          </w:p>
        </w:tc>
        <w:tc>
          <w:tcPr>
            <w:tcW w:w="685" w:type="pct"/>
            <w:shd w:val="clear" w:color="auto" w:fill="auto"/>
            <w:tcMar>
              <w:top w:w="0" w:type="dxa"/>
              <w:bottom w:w="0" w:type="dxa"/>
            </w:tcMar>
            <w:vAlign w:val="center"/>
          </w:tcPr>
          <w:p w14:paraId="7C031C6F"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14,453</w:t>
            </w:r>
          </w:p>
        </w:tc>
        <w:tc>
          <w:tcPr>
            <w:tcW w:w="681" w:type="pct"/>
            <w:shd w:val="clear" w:color="auto" w:fill="auto"/>
            <w:tcMar>
              <w:top w:w="0" w:type="dxa"/>
              <w:bottom w:w="0" w:type="dxa"/>
            </w:tcMar>
            <w:vAlign w:val="center"/>
          </w:tcPr>
          <w:p w14:paraId="1E66D61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w:t>
            </w:r>
          </w:p>
        </w:tc>
      </w:tr>
      <w:tr w:rsidR="00325D5B" w:rsidRPr="00E61EF8" w14:paraId="11CA00B7" w14:textId="77777777" w:rsidTr="00E61EF8">
        <w:tc>
          <w:tcPr>
            <w:tcW w:w="2268" w:type="pct"/>
            <w:shd w:val="clear" w:color="auto" w:fill="auto"/>
            <w:tcMar>
              <w:top w:w="0" w:type="dxa"/>
              <w:bottom w:w="0" w:type="dxa"/>
            </w:tcMar>
            <w:vAlign w:val="center"/>
          </w:tcPr>
          <w:p w14:paraId="568726D3"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loan amount</w:t>
            </w:r>
          </w:p>
        </w:tc>
        <w:tc>
          <w:tcPr>
            <w:tcW w:w="679" w:type="pct"/>
            <w:shd w:val="clear" w:color="auto" w:fill="auto"/>
            <w:tcMar>
              <w:top w:w="0" w:type="dxa"/>
              <w:bottom w:w="0" w:type="dxa"/>
            </w:tcMar>
            <w:vAlign w:val="center"/>
          </w:tcPr>
          <w:p w14:paraId="19E960B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95,000 (*)</w:t>
            </w:r>
          </w:p>
        </w:tc>
        <w:tc>
          <w:tcPr>
            <w:tcW w:w="687" w:type="pct"/>
            <w:shd w:val="clear" w:color="auto" w:fill="auto"/>
            <w:tcMar>
              <w:top w:w="0" w:type="dxa"/>
              <w:bottom w:w="0" w:type="dxa"/>
            </w:tcMar>
            <w:vAlign w:val="center"/>
          </w:tcPr>
          <w:p w14:paraId="2930342F"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w:t>
            </w:r>
          </w:p>
        </w:tc>
        <w:tc>
          <w:tcPr>
            <w:tcW w:w="685" w:type="pct"/>
            <w:shd w:val="clear" w:color="auto" w:fill="auto"/>
            <w:tcMar>
              <w:top w:w="0" w:type="dxa"/>
              <w:bottom w:w="0" w:type="dxa"/>
            </w:tcMar>
            <w:vAlign w:val="center"/>
          </w:tcPr>
          <w:p w14:paraId="394EB18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14,246</w:t>
            </w:r>
          </w:p>
        </w:tc>
        <w:tc>
          <w:tcPr>
            <w:tcW w:w="681" w:type="pct"/>
            <w:shd w:val="clear" w:color="auto" w:fill="auto"/>
            <w:tcMar>
              <w:top w:w="0" w:type="dxa"/>
              <w:bottom w:w="0" w:type="dxa"/>
            </w:tcMar>
            <w:vAlign w:val="center"/>
          </w:tcPr>
          <w:p w14:paraId="1AFDB30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18</w:t>
            </w:r>
          </w:p>
        </w:tc>
      </w:tr>
      <w:tr w:rsidR="00325D5B" w:rsidRPr="00E61EF8" w14:paraId="703E95AB" w14:textId="77777777" w:rsidTr="00E61EF8">
        <w:tc>
          <w:tcPr>
            <w:tcW w:w="2268" w:type="pct"/>
            <w:shd w:val="clear" w:color="auto" w:fill="auto"/>
            <w:tcMar>
              <w:top w:w="0" w:type="dxa"/>
              <w:bottom w:w="0" w:type="dxa"/>
            </w:tcMar>
            <w:vAlign w:val="center"/>
          </w:tcPr>
          <w:p w14:paraId="0D8A38E9"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Investment securities portfolio</w:t>
            </w:r>
          </w:p>
        </w:tc>
        <w:tc>
          <w:tcPr>
            <w:tcW w:w="679" w:type="pct"/>
            <w:shd w:val="clear" w:color="auto" w:fill="auto"/>
            <w:tcMar>
              <w:top w:w="0" w:type="dxa"/>
              <w:bottom w:w="0" w:type="dxa"/>
            </w:tcMar>
            <w:vAlign w:val="center"/>
          </w:tcPr>
          <w:p w14:paraId="0AB6009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24,500</w:t>
            </w:r>
          </w:p>
        </w:tc>
        <w:tc>
          <w:tcPr>
            <w:tcW w:w="687" w:type="pct"/>
            <w:shd w:val="clear" w:color="auto" w:fill="auto"/>
            <w:tcMar>
              <w:top w:w="0" w:type="dxa"/>
              <w:bottom w:w="0" w:type="dxa"/>
            </w:tcMar>
            <w:vAlign w:val="center"/>
          </w:tcPr>
          <w:p w14:paraId="034242D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17,517</w:t>
            </w:r>
          </w:p>
        </w:tc>
        <w:tc>
          <w:tcPr>
            <w:tcW w:w="685" w:type="pct"/>
            <w:shd w:val="clear" w:color="auto" w:fill="auto"/>
            <w:tcMar>
              <w:top w:w="0" w:type="dxa"/>
              <w:bottom w:w="0" w:type="dxa"/>
            </w:tcMar>
            <w:vAlign w:val="center"/>
          </w:tcPr>
          <w:p w14:paraId="200A96E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6,983</w:t>
            </w:r>
          </w:p>
        </w:tc>
        <w:tc>
          <w:tcPr>
            <w:tcW w:w="681" w:type="pct"/>
            <w:shd w:val="clear" w:color="auto" w:fill="auto"/>
            <w:tcMar>
              <w:top w:w="0" w:type="dxa"/>
              <w:bottom w:w="0" w:type="dxa"/>
            </w:tcMar>
            <w:vAlign w:val="center"/>
          </w:tcPr>
          <w:p w14:paraId="514C1E9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40</w:t>
            </w:r>
          </w:p>
        </w:tc>
      </w:tr>
      <w:tr w:rsidR="00325D5B" w:rsidRPr="00E61EF8" w14:paraId="55E49E33" w14:textId="77777777" w:rsidTr="00E61EF8">
        <w:tc>
          <w:tcPr>
            <w:tcW w:w="2268" w:type="pct"/>
            <w:shd w:val="clear" w:color="auto" w:fill="auto"/>
            <w:tcMar>
              <w:top w:w="0" w:type="dxa"/>
              <w:bottom w:w="0" w:type="dxa"/>
            </w:tcMar>
            <w:vAlign w:val="center"/>
          </w:tcPr>
          <w:p w14:paraId="2C00A2E7"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lastRenderedPageBreak/>
              <w:t>Profit before tax</w:t>
            </w:r>
          </w:p>
        </w:tc>
        <w:tc>
          <w:tcPr>
            <w:tcW w:w="679" w:type="pct"/>
            <w:shd w:val="clear" w:color="auto" w:fill="auto"/>
            <w:tcMar>
              <w:top w:w="0" w:type="dxa"/>
              <w:bottom w:w="0" w:type="dxa"/>
            </w:tcMar>
            <w:vAlign w:val="center"/>
          </w:tcPr>
          <w:p w14:paraId="2F76536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1,050</w:t>
            </w:r>
          </w:p>
        </w:tc>
        <w:tc>
          <w:tcPr>
            <w:tcW w:w="687" w:type="pct"/>
            <w:shd w:val="clear" w:color="auto" w:fill="auto"/>
            <w:tcMar>
              <w:top w:w="0" w:type="dxa"/>
              <w:bottom w:w="0" w:type="dxa"/>
            </w:tcMar>
            <w:vAlign w:val="center"/>
          </w:tcPr>
          <w:p w14:paraId="696A8E4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812</w:t>
            </w:r>
          </w:p>
        </w:tc>
        <w:tc>
          <w:tcPr>
            <w:tcW w:w="685" w:type="pct"/>
            <w:shd w:val="clear" w:color="auto" w:fill="auto"/>
            <w:tcMar>
              <w:top w:w="0" w:type="dxa"/>
              <w:bottom w:w="0" w:type="dxa"/>
            </w:tcMar>
            <w:vAlign w:val="center"/>
          </w:tcPr>
          <w:p w14:paraId="37E211C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238</w:t>
            </w:r>
          </w:p>
        </w:tc>
        <w:tc>
          <w:tcPr>
            <w:tcW w:w="681" w:type="pct"/>
            <w:shd w:val="clear" w:color="auto" w:fill="auto"/>
            <w:tcMar>
              <w:top w:w="0" w:type="dxa"/>
              <w:bottom w:w="0" w:type="dxa"/>
            </w:tcMar>
            <w:vAlign w:val="center"/>
          </w:tcPr>
          <w:p w14:paraId="76D148D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29</w:t>
            </w:r>
          </w:p>
        </w:tc>
      </w:tr>
      <w:tr w:rsidR="00325D5B" w:rsidRPr="00E61EF8" w14:paraId="03C5E274" w14:textId="77777777" w:rsidTr="00E61EF8">
        <w:tc>
          <w:tcPr>
            <w:tcW w:w="2268" w:type="pct"/>
            <w:shd w:val="clear" w:color="auto" w:fill="auto"/>
            <w:tcMar>
              <w:top w:w="0" w:type="dxa"/>
              <w:bottom w:w="0" w:type="dxa"/>
            </w:tcMar>
            <w:vAlign w:val="center"/>
          </w:tcPr>
          <w:p w14:paraId="3E95DDA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Non-performing loan rate (N345/Total credit exposure as per Circular 11/State's Bank)</w:t>
            </w:r>
          </w:p>
        </w:tc>
        <w:tc>
          <w:tcPr>
            <w:tcW w:w="679" w:type="pct"/>
            <w:shd w:val="clear" w:color="auto" w:fill="auto"/>
            <w:tcMar>
              <w:top w:w="0" w:type="dxa"/>
              <w:bottom w:w="0" w:type="dxa"/>
            </w:tcMar>
            <w:vAlign w:val="center"/>
          </w:tcPr>
          <w:p w14:paraId="1664077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 2.5%</w:t>
            </w:r>
          </w:p>
        </w:tc>
        <w:tc>
          <w:tcPr>
            <w:tcW w:w="687" w:type="pct"/>
            <w:shd w:val="clear" w:color="auto" w:fill="auto"/>
            <w:tcMar>
              <w:top w:w="0" w:type="dxa"/>
              <w:bottom w:w="0" w:type="dxa"/>
            </w:tcMar>
            <w:vAlign w:val="center"/>
          </w:tcPr>
          <w:p w14:paraId="167F068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1.79%</w:t>
            </w:r>
          </w:p>
        </w:tc>
        <w:tc>
          <w:tcPr>
            <w:tcW w:w="685" w:type="pct"/>
            <w:shd w:val="clear" w:color="auto" w:fill="auto"/>
            <w:tcMar>
              <w:top w:w="0" w:type="dxa"/>
              <w:bottom w:w="0" w:type="dxa"/>
            </w:tcMar>
            <w:vAlign w:val="center"/>
          </w:tcPr>
          <w:p w14:paraId="2229EF30" w14:textId="77777777" w:rsidR="00325D5B" w:rsidRPr="00E61EF8" w:rsidRDefault="00325D5B" w:rsidP="00E61EF8">
            <w:pPr>
              <w:pBdr>
                <w:top w:val="nil"/>
                <w:left w:val="nil"/>
                <w:bottom w:val="nil"/>
                <w:right w:val="nil"/>
                <w:between w:val="nil"/>
              </w:pBdr>
              <w:spacing w:after="120" w:line="360" w:lineRule="auto"/>
              <w:jc w:val="right"/>
              <w:rPr>
                <w:rFonts w:ascii="Arial" w:eastAsia="Arial" w:hAnsi="Arial" w:cs="Arial"/>
                <w:sz w:val="20"/>
                <w:szCs w:val="20"/>
              </w:rPr>
            </w:pPr>
          </w:p>
        </w:tc>
        <w:tc>
          <w:tcPr>
            <w:tcW w:w="681" w:type="pct"/>
            <w:shd w:val="clear" w:color="auto" w:fill="auto"/>
            <w:tcMar>
              <w:top w:w="0" w:type="dxa"/>
              <w:bottom w:w="0" w:type="dxa"/>
            </w:tcMar>
            <w:vAlign w:val="center"/>
          </w:tcPr>
          <w:p w14:paraId="3DC9DA3B" w14:textId="77777777" w:rsidR="00325D5B" w:rsidRPr="00E61EF8" w:rsidRDefault="00325D5B" w:rsidP="00E61EF8">
            <w:pPr>
              <w:pBdr>
                <w:top w:val="nil"/>
                <w:left w:val="nil"/>
                <w:bottom w:val="nil"/>
                <w:right w:val="nil"/>
                <w:between w:val="nil"/>
              </w:pBdr>
              <w:spacing w:after="120" w:line="360" w:lineRule="auto"/>
              <w:jc w:val="right"/>
              <w:rPr>
                <w:rFonts w:ascii="Arial" w:eastAsia="Arial" w:hAnsi="Arial" w:cs="Arial"/>
                <w:sz w:val="20"/>
                <w:szCs w:val="20"/>
              </w:rPr>
            </w:pPr>
          </w:p>
        </w:tc>
      </w:tr>
    </w:tbl>
    <w:p w14:paraId="598D278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Notes: Vietbank's aspirational credit growth plan will be adjusted in 2024 in accordance with the credit growth room granted by the State Bank, based on Official Dispatch 10167/NHNN-CSTT dated December 31, 2023 or a replacement document (if any).</w:t>
      </w:r>
    </w:p>
    <w:p w14:paraId="1732200A" w14:textId="77777777" w:rsidR="00325D5B" w:rsidRPr="00E61EF8" w:rsidRDefault="005223E8" w:rsidP="00E61EF8">
      <w:pPr>
        <w:numPr>
          <w:ilvl w:val="0"/>
          <w:numId w:val="11"/>
        </w:numPr>
        <w:pBdr>
          <w:top w:val="nil"/>
          <w:left w:val="nil"/>
          <w:bottom w:val="nil"/>
          <w:right w:val="nil"/>
          <w:between w:val="nil"/>
        </w:pBdr>
        <w:tabs>
          <w:tab w:val="left" w:pos="774"/>
        </w:tabs>
        <w:spacing w:after="120" w:line="360" w:lineRule="auto"/>
        <w:rPr>
          <w:rFonts w:ascii="Arial" w:eastAsia="Arial" w:hAnsi="Arial" w:cs="Arial"/>
          <w:sz w:val="20"/>
          <w:szCs w:val="20"/>
        </w:rPr>
      </w:pPr>
      <w:r>
        <w:rPr>
          <w:rFonts w:ascii="Arial" w:hAnsi="Arial"/>
          <w:sz w:val="20"/>
        </w:rPr>
        <w:t>Approve the audited Financial Statements for 2023 with the following key financial indicators:</w:t>
      </w:r>
    </w:p>
    <w:p w14:paraId="7903E9B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Million VND</w:t>
      </w:r>
    </w:p>
    <w:tbl>
      <w:tblPr>
        <w:tblStyle w:val="a4"/>
        <w:tblW w:w="5000" w:type="pct"/>
        <w:tblLook w:val="0000" w:firstRow="0" w:lastRow="0" w:firstColumn="0" w:lastColumn="0" w:noHBand="0" w:noVBand="0"/>
      </w:tblPr>
      <w:tblGrid>
        <w:gridCol w:w="934"/>
        <w:gridCol w:w="4407"/>
        <w:gridCol w:w="1843"/>
        <w:gridCol w:w="1832"/>
      </w:tblGrid>
      <w:tr w:rsidR="00325D5B" w:rsidRPr="00E61EF8" w14:paraId="59A1FDFE" w14:textId="77777777" w:rsidTr="00E61EF8">
        <w:tc>
          <w:tcPr>
            <w:tcW w:w="518" w:type="pct"/>
            <w:vMerge w:val="restart"/>
            <w:tcBorders>
              <w:top w:val="single" w:sz="4" w:space="0" w:color="000000"/>
              <w:left w:val="single" w:sz="4" w:space="0" w:color="000000"/>
            </w:tcBorders>
            <w:shd w:val="clear" w:color="auto" w:fill="auto"/>
            <w:tcMar>
              <w:top w:w="0" w:type="dxa"/>
              <w:bottom w:w="0" w:type="dxa"/>
            </w:tcMar>
            <w:vAlign w:val="center"/>
          </w:tcPr>
          <w:p w14:paraId="262AC3CA"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2444" w:type="pct"/>
            <w:vMerge w:val="restart"/>
            <w:tcBorders>
              <w:top w:val="single" w:sz="4" w:space="0" w:color="000000"/>
              <w:left w:val="single" w:sz="4" w:space="0" w:color="000000"/>
            </w:tcBorders>
            <w:shd w:val="clear" w:color="auto" w:fill="auto"/>
            <w:tcMar>
              <w:top w:w="0" w:type="dxa"/>
              <w:bottom w:w="0" w:type="dxa"/>
            </w:tcMar>
            <w:vAlign w:val="center"/>
          </w:tcPr>
          <w:p w14:paraId="51A5E4D6"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w:t>
            </w:r>
          </w:p>
        </w:tc>
        <w:tc>
          <w:tcPr>
            <w:tcW w:w="2038"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6448D86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2023</w:t>
            </w:r>
          </w:p>
        </w:tc>
      </w:tr>
      <w:tr w:rsidR="00325D5B" w:rsidRPr="00E61EF8" w14:paraId="7AD440EB" w14:textId="77777777" w:rsidTr="00E61EF8">
        <w:tc>
          <w:tcPr>
            <w:tcW w:w="518" w:type="pct"/>
            <w:vMerge/>
            <w:tcBorders>
              <w:top w:val="single" w:sz="4" w:space="0" w:color="000000"/>
              <w:left w:val="single" w:sz="4" w:space="0" w:color="000000"/>
            </w:tcBorders>
            <w:shd w:val="clear" w:color="auto" w:fill="auto"/>
            <w:tcMar>
              <w:top w:w="0" w:type="dxa"/>
              <w:bottom w:w="0" w:type="dxa"/>
            </w:tcMar>
            <w:vAlign w:val="center"/>
          </w:tcPr>
          <w:p w14:paraId="3699E3AC"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2444" w:type="pct"/>
            <w:vMerge/>
            <w:tcBorders>
              <w:top w:val="single" w:sz="4" w:space="0" w:color="000000"/>
              <w:left w:val="single" w:sz="4" w:space="0" w:color="000000"/>
            </w:tcBorders>
            <w:shd w:val="clear" w:color="auto" w:fill="auto"/>
            <w:tcMar>
              <w:top w:w="0" w:type="dxa"/>
              <w:bottom w:w="0" w:type="dxa"/>
            </w:tcMar>
            <w:vAlign w:val="center"/>
          </w:tcPr>
          <w:p w14:paraId="48C014A0"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1022" w:type="pct"/>
            <w:tcBorders>
              <w:top w:val="single" w:sz="4" w:space="0" w:color="000000"/>
              <w:left w:val="single" w:sz="4" w:space="0" w:color="000000"/>
            </w:tcBorders>
            <w:shd w:val="clear" w:color="auto" w:fill="auto"/>
            <w:tcMar>
              <w:top w:w="0" w:type="dxa"/>
              <w:bottom w:w="0" w:type="dxa"/>
            </w:tcMar>
            <w:vAlign w:val="center"/>
          </w:tcPr>
          <w:p w14:paraId="0BE4217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Audited Separate Financial Statements</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9E53FFA"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Audited Consolidated Financial Statements</w:t>
            </w:r>
          </w:p>
        </w:tc>
      </w:tr>
      <w:tr w:rsidR="00325D5B" w:rsidRPr="00E61EF8" w14:paraId="6D76CCDF" w14:textId="77777777" w:rsidTr="00E61EF8">
        <w:tc>
          <w:tcPr>
            <w:tcW w:w="2962" w:type="pct"/>
            <w:gridSpan w:val="2"/>
            <w:tcBorders>
              <w:top w:val="single" w:sz="4" w:space="0" w:color="000000"/>
              <w:left w:val="single" w:sz="4" w:space="0" w:color="000000"/>
            </w:tcBorders>
            <w:shd w:val="clear" w:color="auto" w:fill="auto"/>
            <w:tcMar>
              <w:top w:w="0" w:type="dxa"/>
              <w:bottom w:w="0" w:type="dxa"/>
            </w:tcMar>
            <w:vAlign w:val="center"/>
          </w:tcPr>
          <w:p w14:paraId="3BCB752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Business-related indicators</w:t>
            </w:r>
          </w:p>
        </w:tc>
        <w:tc>
          <w:tcPr>
            <w:tcW w:w="1022" w:type="pct"/>
            <w:tcBorders>
              <w:top w:val="single" w:sz="4" w:space="0" w:color="000000"/>
              <w:left w:val="single" w:sz="4" w:space="0" w:color="000000"/>
            </w:tcBorders>
            <w:shd w:val="clear" w:color="auto" w:fill="auto"/>
            <w:tcMar>
              <w:top w:w="0" w:type="dxa"/>
              <w:bottom w:w="0" w:type="dxa"/>
            </w:tcMar>
            <w:vAlign w:val="center"/>
          </w:tcPr>
          <w:p w14:paraId="075B184B" w14:textId="77777777" w:rsidR="00325D5B" w:rsidRPr="00E61EF8" w:rsidRDefault="00325D5B" w:rsidP="00E61EF8">
            <w:pPr>
              <w:spacing w:after="120" w:line="360" w:lineRule="auto"/>
              <w:rPr>
                <w:rFonts w:ascii="Arial" w:eastAsia="Arial" w:hAnsi="Arial" w:cs="Arial"/>
                <w:sz w:val="20"/>
                <w:szCs w:val="20"/>
              </w:rPr>
            </w:pP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CBF99A9" w14:textId="77777777" w:rsidR="00325D5B" w:rsidRPr="00E61EF8" w:rsidRDefault="00325D5B" w:rsidP="00E61EF8">
            <w:pPr>
              <w:spacing w:after="120" w:line="360" w:lineRule="auto"/>
              <w:rPr>
                <w:rFonts w:ascii="Arial" w:eastAsia="Arial" w:hAnsi="Arial" w:cs="Arial"/>
                <w:sz w:val="20"/>
                <w:szCs w:val="20"/>
              </w:rPr>
            </w:pPr>
          </w:p>
        </w:tc>
      </w:tr>
      <w:tr w:rsidR="00325D5B" w:rsidRPr="00E61EF8" w14:paraId="562ABFA1" w14:textId="77777777" w:rsidTr="00E61EF8">
        <w:tc>
          <w:tcPr>
            <w:tcW w:w="518" w:type="pct"/>
            <w:tcBorders>
              <w:top w:val="single" w:sz="4" w:space="0" w:color="000000"/>
              <w:left w:val="single" w:sz="4" w:space="0" w:color="000000"/>
            </w:tcBorders>
            <w:shd w:val="clear" w:color="auto" w:fill="auto"/>
            <w:tcMar>
              <w:top w:w="0" w:type="dxa"/>
              <w:bottom w:w="0" w:type="dxa"/>
            </w:tcMar>
            <w:vAlign w:val="center"/>
          </w:tcPr>
          <w:p w14:paraId="019E771C"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w:t>
            </w:r>
          </w:p>
        </w:tc>
        <w:tc>
          <w:tcPr>
            <w:tcW w:w="2444" w:type="pct"/>
            <w:tcBorders>
              <w:top w:val="single" w:sz="4" w:space="0" w:color="000000"/>
              <w:left w:val="single" w:sz="4" w:space="0" w:color="000000"/>
            </w:tcBorders>
            <w:shd w:val="clear" w:color="auto" w:fill="auto"/>
            <w:tcMar>
              <w:top w:w="0" w:type="dxa"/>
              <w:bottom w:w="0" w:type="dxa"/>
            </w:tcMar>
            <w:vAlign w:val="center"/>
          </w:tcPr>
          <w:p w14:paraId="374C1675"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p>
        </w:tc>
        <w:tc>
          <w:tcPr>
            <w:tcW w:w="1022" w:type="pct"/>
            <w:tcBorders>
              <w:top w:val="single" w:sz="4" w:space="0" w:color="000000"/>
              <w:left w:val="single" w:sz="4" w:space="0" w:color="000000"/>
            </w:tcBorders>
            <w:shd w:val="clear" w:color="auto" w:fill="auto"/>
            <w:tcMar>
              <w:top w:w="0" w:type="dxa"/>
              <w:bottom w:w="0" w:type="dxa"/>
            </w:tcMar>
            <w:vAlign w:val="center"/>
          </w:tcPr>
          <w:p w14:paraId="7D06639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138,262,087</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926878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138,258,073</w:t>
            </w:r>
          </w:p>
        </w:tc>
      </w:tr>
      <w:tr w:rsidR="00325D5B" w:rsidRPr="00E61EF8" w14:paraId="19A77D22" w14:textId="77777777" w:rsidTr="00E61EF8">
        <w:tc>
          <w:tcPr>
            <w:tcW w:w="518" w:type="pct"/>
            <w:vMerge w:val="restart"/>
            <w:tcBorders>
              <w:top w:val="single" w:sz="4" w:space="0" w:color="000000"/>
              <w:left w:val="single" w:sz="4" w:space="0" w:color="000000"/>
            </w:tcBorders>
            <w:shd w:val="clear" w:color="auto" w:fill="auto"/>
            <w:tcMar>
              <w:top w:w="0" w:type="dxa"/>
              <w:bottom w:w="0" w:type="dxa"/>
            </w:tcMar>
            <w:vAlign w:val="center"/>
          </w:tcPr>
          <w:p w14:paraId="41065F2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w:t>
            </w:r>
          </w:p>
        </w:tc>
        <w:tc>
          <w:tcPr>
            <w:tcW w:w="2444" w:type="pct"/>
            <w:tcBorders>
              <w:top w:val="single" w:sz="4" w:space="0" w:color="000000"/>
              <w:left w:val="single" w:sz="4" w:space="0" w:color="000000"/>
            </w:tcBorders>
            <w:shd w:val="clear" w:color="auto" w:fill="auto"/>
            <w:tcMar>
              <w:top w:w="0" w:type="dxa"/>
              <w:bottom w:w="0" w:type="dxa"/>
            </w:tcMar>
            <w:vAlign w:val="center"/>
          </w:tcPr>
          <w:p w14:paraId="2C7C2E1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Loans to customers (before loan loss reserves)</w:t>
            </w:r>
          </w:p>
        </w:tc>
        <w:tc>
          <w:tcPr>
            <w:tcW w:w="1022" w:type="pct"/>
            <w:tcBorders>
              <w:top w:val="single" w:sz="4" w:space="0" w:color="000000"/>
              <w:left w:val="single" w:sz="4" w:space="0" w:color="000000"/>
            </w:tcBorders>
            <w:shd w:val="clear" w:color="auto" w:fill="auto"/>
            <w:tcMar>
              <w:top w:w="0" w:type="dxa"/>
              <w:bottom w:w="0" w:type="dxa"/>
            </w:tcMar>
            <w:vAlign w:val="center"/>
          </w:tcPr>
          <w:p w14:paraId="3300C53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80,754,430</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F9A331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80,754,430</w:t>
            </w:r>
          </w:p>
        </w:tc>
      </w:tr>
      <w:tr w:rsidR="00325D5B" w:rsidRPr="00E61EF8" w14:paraId="47DAF21A" w14:textId="77777777" w:rsidTr="00E61EF8">
        <w:tc>
          <w:tcPr>
            <w:tcW w:w="518" w:type="pct"/>
            <w:vMerge/>
            <w:tcBorders>
              <w:top w:val="single" w:sz="4" w:space="0" w:color="000000"/>
              <w:left w:val="single" w:sz="4" w:space="0" w:color="000000"/>
            </w:tcBorders>
            <w:shd w:val="clear" w:color="auto" w:fill="auto"/>
            <w:tcMar>
              <w:top w:w="0" w:type="dxa"/>
              <w:bottom w:w="0" w:type="dxa"/>
            </w:tcMar>
            <w:vAlign w:val="center"/>
          </w:tcPr>
          <w:p w14:paraId="49785186"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2444" w:type="pct"/>
            <w:tcBorders>
              <w:top w:val="single" w:sz="4" w:space="0" w:color="000000"/>
              <w:left w:val="single" w:sz="4" w:space="0" w:color="000000"/>
            </w:tcBorders>
            <w:shd w:val="clear" w:color="auto" w:fill="auto"/>
            <w:tcMar>
              <w:top w:w="0" w:type="dxa"/>
              <w:bottom w:w="0" w:type="dxa"/>
            </w:tcMar>
            <w:vAlign w:val="center"/>
          </w:tcPr>
          <w:p w14:paraId="27DC6928"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Loans to customers (after loan loss reserves)</w:t>
            </w:r>
          </w:p>
        </w:tc>
        <w:tc>
          <w:tcPr>
            <w:tcW w:w="1022" w:type="pct"/>
            <w:tcBorders>
              <w:top w:val="single" w:sz="4" w:space="0" w:color="000000"/>
              <w:left w:val="single" w:sz="4" w:space="0" w:color="000000"/>
            </w:tcBorders>
            <w:shd w:val="clear" w:color="auto" w:fill="auto"/>
            <w:tcMar>
              <w:top w:w="0" w:type="dxa"/>
              <w:bottom w:w="0" w:type="dxa"/>
            </w:tcMar>
            <w:vAlign w:val="center"/>
          </w:tcPr>
          <w:p w14:paraId="4DBAF77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79,976,558</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8B3E16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79,976,558</w:t>
            </w:r>
          </w:p>
        </w:tc>
      </w:tr>
      <w:tr w:rsidR="00325D5B" w:rsidRPr="00E61EF8" w14:paraId="2B20EA46" w14:textId="77777777" w:rsidTr="00E61EF8">
        <w:tc>
          <w:tcPr>
            <w:tcW w:w="518" w:type="pct"/>
            <w:vMerge w:val="restart"/>
            <w:tcBorders>
              <w:top w:val="single" w:sz="4" w:space="0" w:color="000000"/>
              <w:left w:val="single" w:sz="4" w:space="0" w:color="000000"/>
            </w:tcBorders>
            <w:shd w:val="clear" w:color="auto" w:fill="auto"/>
            <w:tcMar>
              <w:top w:w="0" w:type="dxa"/>
              <w:bottom w:w="0" w:type="dxa"/>
            </w:tcMar>
            <w:vAlign w:val="center"/>
          </w:tcPr>
          <w:p w14:paraId="3586A67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w:t>
            </w:r>
          </w:p>
        </w:tc>
        <w:tc>
          <w:tcPr>
            <w:tcW w:w="2444" w:type="pct"/>
            <w:tcBorders>
              <w:top w:val="single" w:sz="4" w:space="0" w:color="000000"/>
              <w:left w:val="single" w:sz="4" w:space="0" w:color="000000"/>
            </w:tcBorders>
            <w:shd w:val="clear" w:color="auto" w:fill="auto"/>
            <w:tcMar>
              <w:top w:w="0" w:type="dxa"/>
              <w:bottom w:w="0" w:type="dxa"/>
            </w:tcMar>
            <w:vAlign w:val="center"/>
          </w:tcPr>
          <w:p w14:paraId="09ABEC1C"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Deposits from other credit institutions</w:t>
            </w:r>
          </w:p>
        </w:tc>
        <w:tc>
          <w:tcPr>
            <w:tcW w:w="1022" w:type="pct"/>
            <w:tcBorders>
              <w:top w:val="single" w:sz="4" w:space="0" w:color="000000"/>
              <w:left w:val="single" w:sz="4" w:space="0" w:color="000000"/>
            </w:tcBorders>
            <w:shd w:val="clear" w:color="auto" w:fill="auto"/>
            <w:tcMar>
              <w:top w:w="0" w:type="dxa"/>
              <w:bottom w:w="0" w:type="dxa"/>
            </w:tcMar>
            <w:vAlign w:val="center"/>
          </w:tcPr>
          <w:p w14:paraId="238DA45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23,139,484</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BE6AA5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23,139,484</w:t>
            </w:r>
          </w:p>
        </w:tc>
      </w:tr>
      <w:tr w:rsidR="00325D5B" w:rsidRPr="00E61EF8" w14:paraId="70A4FB54" w14:textId="77777777" w:rsidTr="00E61EF8">
        <w:tc>
          <w:tcPr>
            <w:tcW w:w="518" w:type="pct"/>
            <w:vMerge/>
            <w:tcBorders>
              <w:top w:val="single" w:sz="4" w:space="0" w:color="000000"/>
              <w:left w:val="single" w:sz="4" w:space="0" w:color="000000"/>
            </w:tcBorders>
            <w:shd w:val="clear" w:color="auto" w:fill="auto"/>
            <w:tcMar>
              <w:top w:w="0" w:type="dxa"/>
              <w:bottom w:w="0" w:type="dxa"/>
            </w:tcMar>
            <w:vAlign w:val="center"/>
          </w:tcPr>
          <w:p w14:paraId="28C85B25"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2444" w:type="pct"/>
            <w:tcBorders>
              <w:top w:val="single" w:sz="4" w:space="0" w:color="000000"/>
              <w:left w:val="single" w:sz="4" w:space="0" w:color="000000"/>
            </w:tcBorders>
            <w:shd w:val="clear" w:color="auto" w:fill="auto"/>
            <w:tcMar>
              <w:top w:w="0" w:type="dxa"/>
              <w:bottom w:w="0" w:type="dxa"/>
            </w:tcMar>
            <w:vAlign w:val="center"/>
          </w:tcPr>
          <w:p w14:paraId="295D5A82"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Deposits from customers</w:t>
            </w:r>
          </w:p>
        </w:tc>
        <w:tc>
          <w:tcPr>
            <w:tcW w:w="1022" w:type="pct"/>
            <w:tcBorders>
              <w:top w:val="single" w:sz="4" w:space="0" w:color="000000"/>
              <w:left w:val="single" w:sz="4" w:space="0" w:color="000000"/>
            </w:tcBorders>
            <w:shd w:val="clear" w:color="auto" w:fill="auto"/>
            <w:tcMar>
              <w:top w:w="0" w:type="dxa"/>
              <w:bottom w:w="0" w:type="dxa"/>
            </w:tcMar>
            <w:vAlign w:val="center"/>
          </w:tcPr>
          <w:p w14:paraId="7D65EC5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90,000,811</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A27B70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89,995,715</w:t>
            </w:r>
          </w:p>
        </w:tc>
      </w:tr>
      <w:tr w:rsidR="00325D5B" w:rsidRPr="00E61EF8" w14:paraId="7C871E28" w14:textId="77777777" w:rsidTr="00E61EF8">
        <w:tc>
          <w:tcPr>
            <w:tcW w:w="518" w:type="pct"/>
            <w:tcBorders>
              <w:top w:val="single" w:sz="4" w:space="0" w:color="000000"/>
              <w:left w:val="single" w:sz="4" w:space="0" w:color="000000"/>
            </w:tcBorders>
            <w:shd w:val="clear" w:color="auto" w:fill="auto"/>
            <w:tcMar>
              <w:top w:w="0" w:type="dxa"/>
              <w:bottom w:w="0" w:type="dxa"/>
            </w:tcMar>
            <w:vAlign w:val="center"/>
          </w:tcPr>
          <w:p w14:paraId="044AAE6B"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w:t>
            </w:r>
          </w:p>
        </w:tc>
        <w:tc>
          <w:tcPr>
            <w:tcW w:w="2444" w:type="pct"/>
            <w:tcBorders>
              <w:top w:val="single" w:sz="4" w:space="0" w:color="000000"/>
              <w:left w:val="single" w:sz="4" w:space="0" w:color="000000"/>
            </w:tcBorders>
            <w:shd w:val="clear" w:color="auto" w:fill="auto"/>
            <w:tcMar>
              <w:top w:w="0" w:type="dxa"/>
              <w:bottom w:w="0" w:type="dxa"/>
            </w:tcMar>
            <w:vAlign w:val="center"/>
          </w:tcPr>
          <w:p w14:paraId="4011FDBC"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w:t>
            </w:r>
          </w:p>
        </w:tc>
        <w:tc>
          <w:tcPr>
            <w:tcW w:w="1022" w:type="pct"/>
            <w:tcBorders>
              <w:top w:val="single" w:sz="4" w:space="0" w:color="000000"/>
              <w:left w:val="single" w:sz="4" w:space="0" w:color="000000"/>
            </w:tcBorders>
            <w:shd w:val="clear" w:color="auto" w:fill="auto"/>
            <w:tcMar>
              <w:top w:w="0" w:type="dxa"/>
              <w:bottom w:w="0" w:type="dxa"/>
            </w:tcMar>
            <w:vAlign w:val="center"/>
          </w:tcPr>
          <w:p w14:paraId="0D3FFE5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811,945</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B0D6922"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811,945</w:t>
            </w:r>
          </w:p>
        </w:tc>
      </w:tr>
      <w:tr w:rsidR="00325D5B" w:rsidRPr="00E61EF8" w14:paraId="12479BE9" w14:textId="77777777" w:rsidTr="00E61EF8">
        <w:tc>
          <w:tcPr>
            <w:tcW w:w="2962" w:type="pct"/>
            <w:gridSpan w:val="2"/>
            <w:tcBorders>
              <w:top w:val="single" w:sz="4" w:space="0" w:color="000000"/>
              <w:left w:val="single" w:sz="4" w:space="0" w:color="000000"/>
            </w:tcBorders>
            <w:shd w:val="clear" w:color="auto" w:fill="auto"/>
            <w:tcMar>
              <w:top w:w="0" w:type="dxa"/>
              <w:bottom w:w="0" w:type="dxa"/>
            </w:tcMar>
            <w:vAlign w:val="center"/>
          </w:tcPr>
          <w:p w14:paraId="669CD87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Equity-related indicators</w:t>
            </w:r>
          </w:p>
        </w:tc>
        <w:tc>
          <w:tcPr>
            <w:tcW w:w="1022" w:type="pct"/>
            <w:tcBorders>
              <w:top w:val="single" w:sz="4" w:space="0" w:color="000000"/>
              <w:left w:val="single" w:sz="4" w:space="0" w:color="000000"/>
            </w:tcBorders>
            <w:shd w:val="clear" w:color="auto" w:fill="auto"/>
            <w:tcMar>
              <w:top w:w="0" w:type="dxa"/>
              <w:bottom w:w="0" w:type="dxa"/>
            </w:tcMar>
            <w:vAlign w:val="center"/>
          </w:tcPr>
          <w:p w14:paraId="2A286741" w14:textId="77777777" w:rsidR="00325D5B" w:rsidRPr="00E61EF8" w:rsidRDefault="00325D5B" w:rsidP="00E61EF8">
            <w:pPr>
              <w:spacing w:after="120" w:line="360" w:lineRule="auto"/>
              <w:jc w:val="right"/>
              <w:rPr>
                <w:rFonts w:ascii="Arial" w:eastAsia="Arial" w:hAnsi="Arial" w:cs="Arial"/>
                <w:sz w:val="20"/>
                <w:szCs w:val="20"/>
              </w:rPr>
            </w:pP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B0DFA48" w14:textId="77777777" w:rsidR="00325D5B" w:rsidRPr="00E61EF8" w:rsidRDefault="00325D5B" w:rsidP="00E61EF8">
            <w:pPr>
              <w:spacing w:after="120" w:line="360" w:lineRule="auto"/>
              <w:jc w:val="right"/>
              <w:rPr>
                <w:rFonts w:ascii="Arial" w:eastAsia="Arial" w:hAnsi="Arial" w:cs="Arial"/>
                <w:sz w:val="20"/>
                <w:szCs w:val="20"/>
              </w:rPr>
            </w:pPr>
          </w:p>
        </w:tc>
      </w:tr>
      <w:tr w:rsidR="00325D5B" w:rsidRPr="00E61EF8" w14:paraId="57416BFA" w14:textId="77777777" w:rsidTr="00E61EF8">
        <w:tc>
          <w:tcPr>
            <w:tcW w:w="518" w:type="pct"/>
            <w:tcBorders>
              <w:top w:val="single" w:sz="4" w:space="0" w:color="000000"/>
              <w:left w:val="single" w:sz="4" w:space="0" w:color="000000"/>
            </w:tcBorders>
            <w:shd w:val="clear" w:color="auto" w:fill="auto"/>
            <w:tcMar>
              <w:top w:w="0" w:type="dxa"/>
              <w:bottom w:w="0" w:type="dxa"/>
            </w:tcMar>
            <w:vAlign w:val="center"/>
          </w:tcPr>
          <w:p w14:paraId="603507F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w:t>
            </w:r>
          </w:p>
        </w:tc>
        <w:tc>
          <w:tcPr>
            <w:tcW w:w="2444" w:type="pct"/>
            <w:tcBorders>
              <w:top w:val="single" w:sz="4" w:space="0" w:color="000000"/>
              <w:left w:val="single" w:sz="4" w:space="0" w:color="000000"/>
            </w:tcBorders>
            <w:shd w:val="clear" w:color="auto" w:fill="auto"/>
            <w:tcMar>
              <w:top w:w="0" w:type="dxa"/>
              <w:bottom w:w="0" w:type="dxa"/>
            </w:tcMar>
            <w:vAlign w:val="center"/>
          </w:tcPr>
          <w:p w14:paraId="6D7EA1A2"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owner’s equity</w:t>
            </w:r>
          </w:p>
        </w:tc>
        <w:tc>
          <w:tcPr>
            <w:tcW w:w="1022" w:type="pct"/>
            <w:tcBorders>
              <w:top w:val="single" w:sz="4" w:space="0" w:color="000000"/>
              <w:left w:val="single" w:sz="4" w:space="0" w:color="000000"/>
            </w:tcBorders>
            <w:shd w:val="clear" w:color="auto" w:fill="auto"/>
            <w:tcMar>
              <w:top w:w="0" w:type="dxa"/>
              <w:bottom w:w="0" w:type="dxa"/>
            </w:tcMar>
            <w:vAlign w:val="center"/>
          </w:tcPr>
          <w:p w14:paraId="2E0BB21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6,895,659</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1BB3DE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6,895,659</w:t>
            </w:r>
          </w:p>
        </w:tc>
      </w:tr>
      <w:tr w:rsidR="00325D5B" w:rsidRPr="00E61EF8" w14:paraId="23CA372A" w14:textId="77777777" w:rsidTr="00E61EF8">
        <w:tc>
          <w:tcPr>
            <w:tcW w:w="518" w:type="pct"/>
            <w:tcBorders>
              <w:top w:val="single" w:sz="4" w:space="0" w:color="000000"/>
              <w:left w:val="single" w:sz="4" w:space="0" w:color="000000"/>
            </w:tcBorders>
            <w:shd w:val="clear" w:color="auto" w:fill="auto"/>
            <w:tcMar>
              <w:top w:w="0" w:type="dxa"/>
              <w:bottom w:w="0" w:type="dxa"/>
            </w:tcMar>
            <w:vAlign w:val="center"/>
          </w:tcPr>
          <w:p w14:paraId="03D8391B"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1.1</w:t>
            </w:r>
          </w:p>
        </w:tc>
        <w:tc>
          <w:tcPr>
            <w:tcW w:w="2444" w:type="pct"/>
            <w:tcBorders>
              <w:top w:val="single" w:sz="4" w:space="0" w:color="000000"/>
              <w:left w:val="single" w:sz="4" w:space="0" w:color="000000"/>
            </w:tcBorders>
            <w:shd w:val="clear" w:color="auto" w:fill="auto"/>
            <w:tcMar>
              <w:top w:w="0" w:type="dxa"/>
              <w:bottom w:w="0" w:type="dxa"/>
            </w:tcMar>
            <w:vAlign w:val="center"/>
          </w:tcPr>
          <w:p w14:paraId="191367C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Charter capital</w:t>
            </w:r>
          </w:p>
        </w:tc>
        <w:tc>
          <w:tcPr>
            <w:tcW w:w="1022" w:type="pct"/>
            <w:tcBorders>
              <w:top w:val="single" w:sz="4" w:space="0" w:color="000000"/>
              <w:left w:val="single" w:sz="4" w:space="0" w:color="000000"/>
            </w:tcBorders>
            <w:shd w:val="clear" w:color="auto" w:fill="auto"/>
            <w:tcMar>
              <w:top w:w="0" w:type="dxa"/>
              <w:bottom w:w="0" w:type="dxa"/>
            </w:tcMar>
            <w:vAlign w:val="center"/>
          </w:tcPr>
          <w:p w14:paraId="1880DBCB"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4,776,827</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27CAB7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4,776,827</w:t>
            </w:r>
          </w:p>
        </w:tc>
      </w:tr>
      <w:tr w:rsidR="00325D5B" w:rsidRPr="00E61EF8" w14:paraId="7D2B9618" w14:textId="77777777" w:rsidTr="00E61EF8">
        <w:tc>
          <w:tcPr>
            <w:tcW w:w="518" w:type="pct"/>
            <w:tcBorders>
              <w:top w:val="single" w:sz="4" w:space="0" w:color="000000"/>
              <w:left w:val="single" w:sz="4" w:space="0" w:color="000000"/>
            </w:tcBorders>
            <w:shd w:val="clear" w:color="auto" w:fill="auto"/>
            <w:tcMar>
              <w:top w:w="0" w:type="dxa"/>
              <w:bottom w:w="0" w:type="dxa"/>
            </w:tcMar>
            <w:vAlign w:val="center"/>
          </w:tcPr>
          <w:p w14:paraId="1FB31EA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1.2</w:t>
            </w:r>
          </w:p>
        </w:tc>
        <w:tc>
          <w:tcPr>
            <w:tcW w:w="2444" w:type="pct"/>
            <w:tcBorders>
              <w:top w:val="single" w:sz="4" w:space="0" w:color="000000"/>
              <w:left w:val="single" w:sz="4" w:space="0" w:color="000000"/>
            </w:tcBorders>
            <w:shd w:val="clear" w:color="auto" w:fill="auto"/>
            <w:tcMar>
              <w:top w:w="0" w:type="dxa"/>
              <w:bottom w:w="0" w:type="dxa"/>
            </w:tcMar>
            <w:vAlign w:val="center"/>
          </w:tcPr>
          <w:p w14:paraId="35AC933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Reserve funds</w:t>
            </w:r>
          </w:p>
        </w:tc>
        <w:tc>
          <w:tcPr>
            <w:tcW w:w="1022" w:type="pct"/>
            <w:tcBorders>
              <w:top w:val="single" w:sz="4" w:space="0" w:color="000000"/>
              <w:left w:val="single" w:sz="4" w:space="0" w:color="000000"/>
            </w:tcBorders>
            <w:shd w:val="clear" w:color="auto" w:fill="auto"/>
            <w:tcMar>
              <w:top w:w="0" w:type="dxa"/>
              <w:bottom w:w="0" w:type="dxa"/>
            </w:tcMar>
            <w:vAlign w:val="center"/>
          </w:tcPr>
          <w:p w14:paraId="3898599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495,800</w:t>
            </w:r>
          </w:p>
        </w:tc>
        <w:tc>
          <w:tcPr>
            <w:tcW w:w="1016"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7B1703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495,800</w:t>
            </w:r>
          </w:p>
        </w:tc>
      </w:tr>
      <w:tr w:rsidR="00325D5B" w:rsidRPr="00E61EF8" w14:paraId="6272FC0D" w14:textId="77777777" w:rsidTr="00E61EF8">
        <w:tc>
          <w:tcPr>
            <w:tcW w:w="51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C2A10EE"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1.3</w:t>
            </w:r>
          </w:p>
        </w:tc>
        <w:tc>
          <w:tcPr>
            <w:tcW w:w="244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4D837D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Undistributed profit</w:t>
            </w:r>
          </w:p>
        </w:tc>
        <w:tc>
          <w:tcPr>
            <w:tcW w:w="10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5E290C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1,623,032</w:t>
            </w:r>
          </w:p>
        </w:tc>
        <w:tc>
          <w:tcPr>
            <w:tcW w:w="101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FD967E1"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1,623,032</w:t>
            </w:r>
          </w:p>
        </w:tc>
      </w:tr>
    </w:tbl>
    <w:p w14:paraId="703C6C57" w14:textId="77777777" w:rsidR="00325D5B" w:rsidRPr="00E61EF8" w:rsidRDefault="005223E8" w:rsidP="00E61EF8">
      <w:pPr>
        <w:numPr>
          <w:ilvl w:val="0"/>
          <w:numId w:val="11"/>
        </w:numPr>
        <w:pBdr>
          <w:top w:val="nil"/>
          <w:left w:val="nil"/>
          <w:bottom w:val="nil"/>
          <w:right w:val="nil"/>
          <w:between w:val="nil"/>
        </w:pBdr>
        <w:tabs>
          <w:tab w:val="left" w:pos="774"/>
        </w:tabs>
        <w:spacing w:after="120" w:line="360" w:lineRule="auto"/>
        <w:rPr>
          <w:rFonts w:ascii="Arial" w:eastAsia="Arial" w:hAnsi="Arial" w:cs="Arial"/>
          <w:sz w:val="20"/>
          <w:szCs w:val="20"/>
        </w:rPr>
      </w:pPr>
      <w:r>
        <w:rPr>
          <w:rFonts w:ascii="Arial" w:hAnsi="Arial"/>
          <w:sz w:val="20"/>
        </w:rPr>
        <w:t>Approve the Report of the Board of Directors on governance and performance results of the Board of Directors; results of performance evaluation of members of the Board of Directors, Committees and Sub-committees under the Board of Directors.</w:t>
      </w:r>
    </w:p>
    <w:p w14:paraId="59153BD7" w14:textId="77777777" w:rsidR="00325D5B" w:rsidRPr="00E61EF8" w:rsidRDefault="005223E8" w:rsidP="00E61EF8">
      <w:pPr>
        <w:numPr>
          <w:ilvl w:val="0"/>
          <w:numId w:val="11"/>
        </w:numPr>
        <w:pBdr>
          <w:top w:val="nil"/>
          <w:left w:val="nil"/>
          <w:bottom w:val="nil"/>
          <w:right w:val="nil"/>
          <w:between w:val="nil"/>
        </w:pBdr>
        <w:tabs>
          <w:tab w:val="left" w:pos="774"/>
        </w:tabs>
        <w:spacing w:after="120" w:line="360" w:lineRule="auto"/>
        <w:rPr>
          <w:rFonts w:ascii="Arial" w:eastAsia="Arial" w:hAnsi="Arial" w:cs="Arial"/>
          <w:sz w:val="20"/>
          <w:szCs w:val="20"/>
        </w:rPr>
      </w:pPr>
      <w:r>
        <w:rPr>
          <w:rFonts w:ascii="Arial" w:hAnsi="Arial"/>
          <w:sz w:val="20"/>
        </w:rPr>
        <w:t>Approve the Report of the Supervisory Board on: Vietbank's business results, the performance results of the Board of Directors and the General Manager; self-assessment of the Supervisory Board's performance and evaluation results of the performance of Supervisory Board members.</w:t>
      </w:r>
    </w:p>
    <w:p w14:paraId="1EA59939" w14:textId="77777777" w:rsidR="00325D5B" w:rsidRPr="00E61EF8" w:rsidRDefault="005223E8" w:rsidP="00E61EF8">
      <w:pPr>
        <w:numPr>
          <w:ilvl w:val="0"/>
          <w:numId w:val="11"/>
        </w:numPr>
        <w:pBdr>
          <w:top w:val="nil"/>
          <w:left w:val="nil"/>
          <w:bottom w:val="nil"/>
          <w:right w:val="nil"/>
          <w:between w:val="nil"/>
        </w:pBdr>
        <w:tabs>
          <w:tab w:val="left" w:pos="774"/>
        </w:tabs>
        <w:spacing w:after="120" w:line="360" w:lineRule="auto"/>
        <w:rPr>
          <w:rFonts w:ascii="Arial" w:eastAsia="Arial" w:hAnsi="Arial" w:cs="Arial"/>
          <w:sz w:val="20"/>
          <w:szCs w:val="20"/>
        </w:rPr>
      </w:pPr>
      <w:r>
        <w:rPr>
          <w:rFonts w:ascii="Arial" w:hAnsi="Arial"/>
          <w:sz w:val="20"/>
        </w:rPr>
        <w:lastRenderedPageBreak/>
        <w:t>Approve the Report on the results of the implementation of the capital increase dossier and listing of shares on the securities market in accordance with the General Mandate No. 01/2022/NQ-DHDCD dated April 26, 2022, General Mandate No. 01/2023/NQ-DHDCD dated April 26, 2023. Accordingly:</w:t>
      </w:r>
    </w:p>
    <w:p w14:paraId="51F3EBAF" w14:textId="77777777" w:rsidR="00325D5B" w:rsidRPr="00E61EF8" w:rsidRDefault="005223E8" w:rsidP="00E61EF8">
      <w:pPr>
        <w:numPr>
          <w:ilvl w:val="0"/>
          <w:numId w:val="12"/>
        </w:numPr>
        <w:pBdr>
          <w:top w:val="nil"/>
          <w:left w:val="nil"/>
          <w:bottom w:val="nil"/>
          <w:right w:val="nil"/>
          <w:between w:val="nil"/>
        </w:pBdr>
        <w:tabs>
          <w:tab w:val="left" w:pos="774"/>
        </w:tabs>
        <w:spacing w:after="120" w:line="360" w:lineRule="auto"/>
        <w:rPr>
          <w:rFonts w:ascii="Arial" w:eastAsia="Arial" w:hAnsi="Arial" w:cs="Arial"/>
          <w:sz w:val="20"/>
          <w:szCs w:val="20"/>
        </w:rPr>
      </w:pPr>
      <w:r>
        <w:rPr>
          <w:rFonts w:ascii="Arial" w:hAnsi="Arial"/>
          <w:sz w:val="20"/>
        </w:rPr>
        <w:t>Regarding the charter capital increase as per the General Mandate 2023, the General Meeting of Shareholders agrees to: Assign the Board of Directors to decide on related issues, work with the State Bank and other relevant agencies to carry out the next steps to complete the procedures for implementing the capital increase in accordance with regulations.</w:t>
      </w:r>
    </w:p>
    <w:p w14:paraId="15A57976" w14:textId="77777777" w:rsidR="00325D5B" w:rsidRPr="00E61EF8" w:rsidRDefault="005223E8" w:rsidP="00E61EF8">
      <w:pPr>
        <w:numPr>
          <w:ilvl w:val="0"/>
          <w:numId w:val="12"/>
        </w:numPr>
        <w:pBdr>
          <w:top w:val="nil"/>
          <w:left w:val="nil"/>
          <w:bottom w:val="nil"/>
          <w:right w:val="nil"/>
          <w:between w:val="nil"/>
        </w:pBdr>
        <w:tabs>
          <w:tab w:val="left" w:pos="651"/>
        </w:tabs>
        <w:spacing w:after="120" w:line="360" w:lineRule="auto"/>
        <w:rPr>
          <w:rFonts w:ascii="Arial" w:eastAsia="Arial" w:hAnsi="Arial" w:cs="Arial"/>
          <w:sz w:val="20"/>
          <w:szCs w:val="20"/>
        </w:rPr>
      </w:pPr>
      <w:r>
        <w:rPr>
          <w:rFonts w:ascii="Arial" w:hAnsi="Arial"/>
          <w:sz w:val="20"/>
        </w:rPr>
        <w:t>Regarding the listing of shares on the securities market, the General Meeting of Shareholders agrees to:</w:t>
      </w:r>
    </w:p>
    <w:p w14:paraId="08315207" w14:textId="77777777" w:rsidR="00325D5B" w:rsidRPr="00E61EF8" w:rsidRDefault="005223E8" w:rsidP="00E61EF8">
      <w:pPr>
        <w:numPr>
          <w:ilvl w:val="1"/>
          <w:numId w:val="14"/>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Transfer the trading of VBB shares from the Upcom trading system to the official listing on the Ho Chi Minh City Stock Exchange (HOSE) when the timing and market conditions are favorable, based on meeting the conditions prescribed by law.</w:t>
      </w:r>
    </w:p>
    <w:p w14:paraId="672485D2" w14:textId="77777777" w:rsidR="00325D5B" w:rsidRPr="00E61EF8" w:rsidRDefault="005223E8" w:rsidP="00E61EF8">
      <w:pPr>
        <w:numPr>
          <w:ilvl w:val="1"/>
          <w:numId w:val="14"/>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Assign/authorize the Board of Directors to decide on all issues related to the above work, direct the Executive Board, Divisions/Centers/Departments, and the Office of the Board of Directors to carry out related procedures in accordance with the law.</w:t>
      </w:r>
    </w:p>
    <w:p w14:paraId="7F2EBABA" w14:textId="77777777" w:rsidR="00325D5B" w:rsidRPr="00E61EF8" w:rsidRDefault="005223E8" w:rsidP="00E61EF8">
      <w:pPr>
        <w:numPr>
          <w:ilvl w:val="0"/>
          <w:numId w:val="11"/>
        </w:numPr>
        <w:pBdr>
          <w:top w:val="nil"/>
          <w:left w:val="nil"/>
          <w:bottom w:val="nil"/>
          <w:right w:val="nil"/>
          <w:between w:val="nil"/>
        </w:pBdr>
        <w:tabs>
          <w:tab w:val="left" w:pos="651"/>
        </w:tabs>
        <w:spacing w:after="120" w:line="360" w:lineRule="auto"/>
        <w:rPr>
          <w:rFonts w:ascii="Arial" w:eastAsia="Arial" w:hAnsi="Arial" w:cs="Arial"/>
          <w:sz w:val="20"/>
          <w:szCs w:val="20"/>
        </w:rPr>
      </w:pPr>
      <w:r>
        <w:rPr>
          <w:rFonts w:ascii="Arial" w:hAnsi="Arial"/>
          <w:sz w:val="20"/>
        </w:rPr>
        <w:t>Approve the profit distribution plan 2023, specifically as follows:</w:t>
      </w:r>
    </w:p>
    <w:p w14:paraId="3EBE71EC" w14:textId="77777777" w:rsidR="00325D5B" w:rsidRPr="00E61EF8" w:rsidRDefault="005223E8" w:rsidP="00E61EF8">
      <w:pPr>
        <w:numPr>
          <w:ilvl w:val="0"/>
          <w:numId w:val="15"/>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The profit distribution plan:</w:t>
      </w:r>
    </w:p>
    <w:p w14:paraId="2B254A6B"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VND</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2"/>
        <w:gridCol w:w="4293"/>
        <w:gridCol w:w="1690"/>
        <w:gridCol w:w="2171"/>
      </w:tblGrid>
      <w:tr w:rsidR="00325D5B" w:rsidRPr="00E61EF8" w14:paraId="2B4AC7CC" w14:textId="77777777" w:rsidTr="00E61EF8">
        <w:tc>
          <w:tcPr>
            <w:tcW w:w="478" w:type="pct"/>
            <w:shd w:val="clear" w:color="auto" w:fill="auto"/>
            <w:tcMar>
              <w:top w:w="0" w:type="dxa"/>
              <w:bottom w:w="0" w:type="dxa"/>
            </w:tcMar>
            <w:vAlign w:val="center"/>
          </w:tcPr>
          <w:p w14:paraId="50A4C2F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2381" w:type="pct"/>
            <w:shd w:val="clear" w:color="auto" w:fill="auto"/>
            <w:tcMar>
              <w:top w:w="0" w:type="dxa"/>
              <w:bottom w:w="0" w:type="dxa"/>
            </w:tcMar>
            <w:vAlign w:val="center"/>
          </w:tcPr>
          <w:p w14:paraId="5BD92EC3"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w:t>
            </w:r>
          </w:p>
        </w:tc>
        <w:tc>
          <w:tcPr>
            <w:tcW w:w="937" w:type="pct"/>
            <w:shd w:val="clear" w:color="auto" w:fill="auto"/>
            <w:tcMar>
              <w:top w:w="0" w:type="dxa"/>
              <w:bottom w:w="0" w:type="dxa"/>
            </w:tcMar>
            <w:vAlign w:val="center"/>
          </w:tcPr>
          <w:p w14:paraId="35E3DA4A"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DESCRIPTION</w:t>
            </w:r>
          </w:p>
        </w:tc>
        <w:tc>
          <w:tcPr>
            <w:tcW w:w="1204" w:type="pct"/>
            <w:shd w:val="clear" w:color="auto" w:fill="auto"/>
            <w:tcMar>
              <w:top w:w="0" w:type="dxa"/>
              <w:bottom w:w="0" w:type="dxa"/>
            </w:tcMar>
            <w:vAlign w:val="center"/>
          </w:tcPr>
          <w:p w14:paraId="013A0E7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AMOUNT</w:t>
            </w:r>
          </w:p>
        </w:tc>
      </w:tr>
      <w:tr w:rsidR="00325D5B" w:rsidRPr="00E61EF8" w14:paraId="1E565EAE" w14:textId="77777777" w:rsidTr="00E61EF8">
        <w:tc>
          <w:tcPr>
            <w:tcW w:w="478" w:type="pct"/>
            <w:shd w:val="clear" w:color="auto" w:fill="auto"/>
            <w:tcMar>
              <w:top w:w="0" w:type="dxa"/>
              <w:bottom w:w="0" w:type="dxa"/>
            </w:tcMar>
            <w:vAlign w:val="center"/>
          </w:tcPr>
          <w:p w14:paraId="6EDFB6A6"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2381" w:type="pct"/>
            <w:shd w:val="clear" w:color="auto" w:fill="auto"/>
            <w:tcMar>
              <w:top w:w="0" w:type="dxa"/>
              <w:bottom w:w="0" w:type="dxa"/>
            </w:tcMar>
            <w:vAlign w:val="center"/>
          </w:tcPr>
          <w:p w14:paraId="176EE5F9"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 of the bank alone</w:t>
            </w:r>
          </w:p>
        </w:tc>
        <w:tc>
          <w:tcPr>
            <w:tcW w:w="937" w:type="pct"/>
            <w:shd w:val="clear" w:color="auto" w:fill="auto"/>
            <w:tcMar>
              <w:top w:w="0" w:type="dxa"/>
              <w:bottom w:w="0" w:type="dxa"/>
            </w:tcMar>
            <w:vAlign w:val="center"/>
          </w:tcPr>
          <w:p w14:paraId="14792D4B"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07CB53B1"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811,945,298,423</w:t>
            </w:r>
          </w:p>
        </w:tc>
      </w:tr>
      <w:tr w:rsidR="00325D5B" w:rsidRPr="00E61EF8" w14:paraId="33C1A99E" w14:textId="77777777" w:rsidTr="00E61EF8">
        <w:tc>
          <w:tcPr>
            <w:tcW w:w="478" w:type="pct"/>
            <w:shd w:val="clear" w:color="auto" w:fill="auto"/>
            <w:tcMar>
              <w:top w:w="0" w:type="dxa"/>
              <w:bottom w:w="0" w:type="dxa"/>
            </w:tcMar>
            <w:vAlign w:val="center"/>
          </w:tcPr>
          <w:p w14:paraId="727B0795"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2381" w:type="pct"/>
            <w:shd w:val="clear" w:color="auto" w:fill="auto"/>
            <w:tcMar>
              <w:top w:w="0" w:type="dxa"/>
              <w:bottom w:w="0" w:type="dxa"/>
            </w:tcMar>
            <w:vAlign w:val="center"/>
          </w:tcPr>
          <w:p w14:paraId="74DEDF2E"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 of the bank alone</w:t>
            </w:r>
          </w:p>
        </w:tc>
        <w:tc>
          <w:tcPr>
            <w:tcW w:w="937" w:type="pct"/>
            <w:shd w:val="clear" w:color="auto" w:fill="auto"/>
            <w:tcMar>
              <w:top w:w="0" w:type="dxa"/>
              <w:bottom w:w="0" w:type="dxa"/>
            </w:tcMar>
            <w:vAlign w:val="center"/>
          </w:tcPr>
          <w:p w14:paraId="2524D1E3"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1094B3C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646,866,026,767</w:t>
            </w:r>
          </w:p>
        </w:tc>
      </w:tr>
      <w:tr w:rsidR="00325D5B" w:rsidRPr="00E61EF8" w14:paraId="7F9C925C" w14:textId="77777777" w:rsidTr="00E61EF8">
        <w:tc>
          <w:tcPr>
            <w:tcW w:w="478" w:type="pct"/>
            <w:shd w:val="clear" w:color="auto" w:fill="auto"/>
            <w:tcMar>
              <w:top w:w="0" w:type="dxa"/>
              <w:bottom w:w="0" w:type="dxa"/>
            </w:tcMar>
            <w:vAlign w:val="center"/>
          </w:tcPr>
          <w:p w14:paraId="2794E173"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2381" w:type="pct"/>
            <w:shd w:val="clear" w:color="auto" w:fill="auto"/>
            <w:tcMar>
              <w:top w:w="0" w:type="dxa"/>
              <w:bottom w:w="0" w:type="dxa"/>
            </w:tcMar>
            <w:vAlign w:val="center"/>
          </w:tcPr>
          <w:p w14:paraId="1599C475"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Appropriation for reserve fund to supplement charter capital</w:t>
            </w:r>
          </w:p>
        </w:tc>
        <w:tc>
          <w:tcPr>
            <w:tcW w:w="937" w:type="pct"/>
            <w:shd w:val="clear" w:color="auto" w:fill="auto"/>
            <w:tcMar>
              <w:top w:w="0" w:type="dxa"/>
              <w:bottom w:w="0" w:type="dxa"/>
            </w:tcMar>
            <w:vAlign w:val="center"/>
          </w:tcPr>
          <w:p w14:paraId="47128183"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 x 5%</w:t>
            </w:r>
          </w:p>
        </w:tc>
        <w:tc>
          <w:tcPr>
            <w:tcW w:w="1204" w:type="pct"/>
            <w:shd w:val="clear" w:color="auto" w:fill="auto"/>
            <w:tcMar>
              <w:top w:w="0" w:type="dxa"/>
              <w:bottom w:w="0" w:type="dxa"/>
            </w:tcMar>
            <w:vAlign w:val="center"/>
          </w:tcPr>
          <w:p w14:paraId="2BFF639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32,343,301,338</w:t>
            </w:r>
          </w:p>
        </w:tc>
      </w:tr>
      <w:tr w:rsidR="00325D5B" w:rsidRPr="00E61EF8" w14:paraId="326E8269" w14:textId="77777777" w:rsidTr="00E61EF8">
        <w:tc>
          <w:tcPr>
            <w:tcW w:w="478" w:type="pct"/>
            <w:shd w:val="clear" w:color="auto" w:fill="auto"/>
            <w:tcMar>
              <w:top w:w="0" w:type="dxa"/>
              <w:bottom w:w="0" w:type="dxa"/>
            </w:tcMar>
            <w:vAlign w:val="center"/>
          </w:tcPr>
          <w:p w14:paraId="34A7D2F3"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2381" w:type="pct"/>
            <w:shd w:val="clear" w:color="auto" w:fill="auto"/>
            <w:tcMar>
              <w:top w:w="0" w:type="dxa"/>
              <w:bottom w:w="0" w:type="dxa"/>
            </w:tcMar>
            <w:vAlign w:val="center"/>
          </w:tcPr>
          <w:p w14:paraId="2554941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Appropriation to Financial reserve fund</w:t>
            </w:r>
          </w:p>
        </w:tc>
        <w:tc>
          <w:tcPr>
            <w:tcW w:w="937" w:type="pct"/>
            <w:shd w:val="clear" w:color="auto" w:fill="auto"/>
            <w:tcMar>
              <w:top w:w="0" w:type="dxa"/>
              <w:bottom w:w="0" w:type="dxa"/>
            </w:tcMar>
            <w:vAlign w:val="center"/>
          </w:tcPr>
          <w:p w14:paraId="38C2DC3A"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 x 10%</w:t>
            </w:r>
          </w:p>
        </w:tc>
        <w:tc>
          <w:tcPr>
            <w:tcW w:w="1204" w:type="pct"/>
            <w:shd w:val="clear" w:color="auto" w:fill="auto"/>
            <w:tcMar>
              <w:top w:w="0" w:type="dxa"/>
              <w:bottom w:w="0" w:type="dxa"/>
            </w:tcMar>
            <w:vAlign w:val="center"/>
          </w:tcPr>
          <w:p w14:paraId="26875FAF"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64,686,602,676</w:t>
            </w:r>
          </w:p>
        </w:tc>
      </w:tr>
      <w:tr w:rsidR="00325D5B" w:rsidRPr="00E61EF8" w14:paraId="6797451E" w14:textId="77777777" w:rsidTr="00E61EF8">
        <w:tc>
          <w:tcPr>
            <w:tcW w:w="478" w:type="pct"/>
            <w:shd w:val="clear" w:color="auto" w:fill="auto"/>
            <w:tcMar>
              <w:top w:w="0" w:type="dxa"/>
              <w:bottom w:w="0" w:type="dxa"/>
            </w:tcMar>
            <w:vAlign w:val="center"/>
          </w:tcPr>
          <w:p w14:paraId="548DB4B5"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2381" w:type="pct"/>
            <w:shd w:val="clear" w:color="auto" w:fill="auto"/>
            <w:tcMar>
              <w:top w:w="0" w:type="dxa"/>
              <w:bottom w:w="0" w:type="dxa"/>
            </w:tcMar>
            <w:vAlign w:val="center"/>
          </w:tcPr>
          <w:p w14:paraId="5B5A774B"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Remaining profit after tax and appropriation to compulsory funds</w:t>
            </w:r>
          </w:p>
        </w:tc>
        <w:tc>
          <w:tcPr>
            <w:tcW w:w="937" w:type="pct"/>
            <w:shd w:val="clear" w:color="auto" w:fill="auto"/>
            <w:tcMar>
              <w:top w:w="0" w:type="dxa"/>
              <w:bottom w:w="0" w:type="dxa"/>
            </w:tcMar>
            <w:vAlign w:val="center"/>
          </w:tcPr>
          <w:p w14:paraId="389F5588"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(2)-(3)-(4)</w:t>
            </w:r>
          </w:p>
        </w:tc>
        <w:tc>
          <w:tcPr>
            <w:tcW w:w="1204" w:type="pct"/>
            <w:shd w:val="clear" w:color="auto" w:fill="auto"/>
            <w:tcMar>
              <w:top w:w="0" w:type="dxa"/>
              <w:bottom w:w="0" w:type="dxa"/>
            </w:tcMar>
            <w:vAlign w:val="center"/>
          </w:tcPr>
          <w:p w14:paraId="53A121B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549,836,122,753</w:t>
            </w:r>
          </w:p>
        </w:tc>
      </w:tr>
      <w:tr w:rsidR="00325D5B" w:rsidRPr="00E61EF8" w14:paraId="3727DCAD" w14:textId="77777777" w:rsidTr="00E61EF8">
        <w:tc>
          <w:tcPr>
            <w:tcW w:w="478" w:type="pct"/>
            <w:shd w:val="clear" w:color="auto" w:fill="auto"/>
            <w:tcMar>
              <w:top w:w="0" w:type="dxa"/>
              <w:bottom w:w="0" w:type="dxa"/>
            </w:tcMar>
            <w:vAlign w:val="center"/>
          </w:tcPr>
          <w:p w14:paraId="31436F5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2381" w:type="pct"/>
            <w:shd w:val="clear" w:color="auto" w:fill="auto"/>
            <w:tcMar>
              <w:top w:w="0" w:type="dxa"/>
              <w:bottom w:w="0" w:type="dxa"/>
            </w:tcMar>
            <w:vAlign w:val="center"/>
          </w:tcPr>
          <w:p w14:paraId="0313DFA3"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Appropriation to bonus and welfare funds</w:t>
            </w:r>
          </w:p>
        </w:tc>
        <w:tc>
          <w:tcPr>
            <w:tcW w:w="937" w:type="pct"/>
            <w:shd w:val="clear" w:color="auto" w:fill="auto"/>
            <w:tcMar>
              <w:top w:w="0" w:type="dxa"/>
              <w:bottom w:w="0" w:type="dxa"/>
            </w:tcMar>
            <w:vAlign w:val="center"/>
          </w:tcPr>
          <w:p w14:paraId="2C772112"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713C738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30,000,000,000</w:t>
            </w:r>
          </w:p>
        </w:tc>
      </w:tr>
      <w:tr w:rsidR="00325D5B" w:rsidRPr="00E61EF8" w14:paraId="0B582944" w14:textId="77777777" w:rsidTr="00E61EF8">
        <w:tc>
          <w:tcPr>
            <w:tcW w:w="478" w:type="pct"/>
            <w:shd w:val="clear" w:color="auto" w:fill="auto"/>
            <w:tcMar>
              <w:top w:w="0" w:type="dxa"/>
              <w:bottom w:w="0" w:type="dxa"/>
            </w:tcMar>
            <w:vAlign w:val="center"/>
          </w:tcPr>
          <w:p w14:paraId="0F49B756"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6.1</w:t>
            </w:r>
          </w:p>
        </w:tc>
        <w:tc>
          <w:tcPr>
            <w:tcW w:w="2381" w:type="pct"/>
            <w:shd w:val="clear" w:color="auto" w:fill="auto"/>
            <w:tcMar>
              <w:top w:w="0" w:type="dxa"/>
              <w:bottom w:w="0" w:type="dxa"/>
            </w:tcMar>
            <w:vAlign w:val="center"/>
          </w:tcPr>
          <w:p w14:paraId="1A0B1398" w14:textId="77777777" w:rsidR="00325D5B" w:rsidRPr="00E61EF8" w:rsidRDefault="005223E8" w:rsidP="00E61EF8">
            <w:pPr>
              <w:numPr>
                <w:ilvl w:val="0"/>
                <w:numId w:val="16"/>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Bonus fund</w:t>
            </w:r>
          </w:p>
        </w:tc>
        <w:tc>
          <w:tcPr>
            <w:tcW w:w="937" w:type="pct"/>
            <w:shd w:val="clear" w:color="auto" w:fill="auto"/>
            <w:tcMar>
              <w:top w:w="0" w:type="dxa"/>
              <w:bottom w:w="0" w:type="dxa"/>
            </w:tcMar>
            <w:vAlign w:val="center"/>
          </w:tcPr>
          <w:p w14:paraId="35FB6E49"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09C2A59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24,000,000,000</w:t>
            </w:r>
          </w:p>
        </w:tc>
      </w:tr>
      <w:tr w:rsidR="00325D5B" w:rsidRPr="00E61EF8" w14:paraId="780459D4" w14:textId="77777777" w:rsidTr="00E61EF8">
        <w:tc>
          <w:tcPr>
            <w:tcW w:w="478" w:type="pct"/>
            <w:shd w:val="clear" w:color="auto" w:fill="auto"/>
            <w:tcMar>
              <w:top w:w="0" w:type="dxa"/>
              <w:bottom w:w="0" w:type="dxa"/>
            </w:tcMar>
            <w:vAlign w:val="center"/>
          </w:tcPr>
          <w:p w14:paraId="5033D62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6.2</w:t>
            </w:r>
          </w:p>
        </w:tc>
        <w:tc>
          <w:tcPr>
            <w:tcW w:w="2381" w:type="pct"/>
            <w:shd w:val="clear" w:color="auto" w:fill="auto"/>
            <w:tcMar>
              <w:top w:w="0" w:type="dxa"/>
              <w:bottom w:w="0" w:type="dxa"/>
            </w:tcMar>
            <w:vAlign w:val="center"/>
          </w:tcPr>
          <w:p w14:paraId="6FAB0502" w14:textId="77777777" w:rsidR="00325D5B" w:rsidRPr="00E61EF8" w:rsidRDefault="005223E8" w:rsidP="00E61EF8">
            <w:pPr>
              <w:numPr>
                <w:ilvl w:val="0"/>
                <w:numId w:val="16"/>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Welfare fund:</w:t>
            </w:r>
          </w:p>
        </w:tc>
        <w:tc>
          <w:tcPr>
            <w:tcW w:w="937" w:type="pct"/>
            <w:shd w:val="clear" w:color="auto" w:fill="auto"/>
            <w:tcMar>
              <w:top w:w="0" w:type="dxa"/>
              <w:bottom w:w="0" w:type="dxa"/>
            </w:tcMar>
            <w:vAlign w:val="center"/>
          </w:tcPr>
          <w:p w14:paraId="0EEC0714"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0FD84CBB"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6,000,000,000</w:t>
            </w:r>
          </w:p>
        </w:tc>
      </w:tr>
      <w:tr w:rsidR="00325D5B" w:rsidRPr="00E61EF8" w14:paraId="1153DEE6" w14:textId="77777777" w:rsidTr="00E61EF8">
        <w:tc>
          <w:tcPr>
            <w:tcW w:w="478" w:type="pct"/>
            <w:shd w:val="clear" w:color="auto" w:fill="auto"/>
            <w:tcMar>
              <w:top w:w="0" w:type="dxa"/>
              <w:bottom w:w="0" w:type="dxa"/>
            </w:tcMar>
            <w:vAlign w:val="center"/>
          </w:tcPr>
          <w:p w14:paraId="59F7072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2381" w:type="pct"/>
            <w:shd w:val="clear" w:color="auto" w:fill="auto"/>
            <w:tcMar>
              <w:top w:w="0" w:type="dxa"/>
              <w:bottom w:w="0" w:type="dxa"/>
            </w:tcMar>
            <w:vAlign w:val="center"/>
          </w:tcPr>
          <w:p w14:paraId="74DB88F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Retained earnings after appropriation to funds in 2023</w:t>
            </w:r>
          </w:p>
        </w:tc>
        <w:tc>
          <w:tcPr>
            <w:tcW w:w="937" w:type="pct"/>
            <w:shd w:val="clear" w:color="auto" w:fill="auto"/>
            <w:tcMar>
              <w:top w:w="0" w:type="dxa"/>
              <w:bottom w:w="0" w:type="dxa"/>
            </w:tcMar>
            <w:vAlign w:val="center"/>
          </w:tcPr>
          <w:p w14:paraId="25214A7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(5)-(6)</w:t>
            </w:r>
          </w:p>
        </w:tc>
        <w:tc>
          <w:tcPr>
            <w:tcW w:w="1204" w:type="pct"/>
            <w:shd w:val="clear" w:color="auto" w:fill="auto"/>
            <w:tcMar>
              <w:top w:w="0" w:type="dxa"/>
              <w:bottom w:w="0" w:type="dxa"/>
            </w:tcMar>
            <w:vAlign w:val="center"/>
          </w:tcPr>
          <w:p w14:paraId="0933551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519,836,122,753</w:t>
            </w:r>
          </w:p>
        </w:tc>
      </w:tr>
      <w:tr w:rsidR="00325D5B" w:rsidRPr="00E61EF8" w14:paraId="1A076711" w14:textId="77777777" w:rsidTr="00E61EF8">
        <w:tc>
          <w:tcPr>
            <w:tcW w:w="478" w:type="pct"/>
            <w:shd w:val="clear" w:color="auto" w:fill="auto"/>
            <w:tcMar>
              <w:top w:w="0" w:type="dxa"/>
              <w:bottom w:w="0" w:type="dxa"/>
            </w:tcMar>
            <w:vAlign w:val="center"/>
          </w:tcPr>
          <w:p w14:paraId="599ACFF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8</w:t>
            </w:r>
          </w:p>
        </w:tc>
        <w:tc>
          <w:tcPr>
            <w:tcW w:w="2381" w:type="pct"/>
            <w:shd w:val="clear" w:color="auto" w:fill="auto"/>
            <w:tcMar>
              <w:top w:w="0" w:type="dxa"/>
              <w:bottom w:w="0" w:type="dxa"/>
            </w:tcMar>
            <w:vAlign w:val="center"/>
          </w:tcPr>
          <w:p w14:paraId="2329B36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Retained earnings after appropriation to funds </w:t>
            </w:r>
            <w:r>
              <w:rPr>
                <w:rFonts w:ascii="Arial" w:hAnsi="Arial"/>
                <w:sz w:val="20"/>
              </w:rPr>
              <w:lastRenderedPageBreak/>
              <w:t>up to 2022</w:t>
            </w:r>
          </w:p>
        </w:tc>
        <w:tc>
          <w:tcPr>
            <w:tcW w:w="937" w:type="pct"/>
            <w:shd w:val="clear" w:color="auto" w:fill="auto"/>
            <w:tcMar>
              <w:top w:w="0" w:type="dxa"/>
              <w:bottom w:w="0" w:type="dxa"/>
            </w:tcMar>
            <w:vAlign w:val="center"/>
          </w:tcPr>
          <w:p w14:paraId="11D3C9B0"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04ED2DE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1,073,195,661,611</w:t>
            </w:r>
          </w:p>
        </w:tc>
      </w:tr>
      <w:tr w:rsidR="00325D5B" w:rsidRPr="00E61EF8" w14:paraId="6E2BB6AA" w14:textId="77777777" w:rsidTr="00E61EF8">
        <w:tc>
          <w:tcPr>
            <w:tcW w:w="478" w:type="pct"/>
            <w:shd w:val="clear" w:color="auto" w:fill="auto"/>
            <w:tcMar>
              <w:top w:w="0" w:type="dxa"/>
              <w:bottom w:w="0" w:type="dxa"/>
            </w:tcMar>
            <w:vAlign w:val="center"/>
          </w:tcPr>
          <w:p w14:paraId="2909B0B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9</w:t>
            </w:r>
          </w:p>
        </w:tc>
        <w:tc>
          <w:tcPr>
            <w:tcW w:w="2381" w:type="pct"/>
            <w:shd w:val="clear" w:color="auto" w:fill="auto"/>
            <w:tcMar>
              <w:top w:w="0" w:type="dxa"/>
              <w:bottom w:w="0" w:type="dxa"/>
            </w:tcMar>
            <w:vAlign w:val="center"/>
          </w:tcPr>
          <w:p w14:paraId="73CD6FD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retained earnings after appropriation to funds up to 2023</w:t>
            </w:r>
          </w:p>
        </w:tc>
        <w:tc>
          <w:tcPr>
            <w:tcW w:w="937" w:type="pct"/>
            <w:shd w:val="clear" w:color="auto" w:fill="auto"/>
            <w:tcMar>
              <w:top w:w="0" w:type="dxa"/>
              <w:bottom w:w="0" w:type="dxa"/>
            </w:tcMar>
            <w:vAlign w:val="center"/>
          </w:tcPr>
          <w:p w14:paraId="2B49562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(7)+(8)</w:t>
            </w:r>
          </w:p>
        </w:tc>
        <w:tc>
          <w:tcPr>
            <w:tcW w:w="1204" w:type="pct"/>
            <w:shd w:val="clear" w:color="auto" w:fill="auto"/>
            <w:tcMar>
              <w:top w:w="0" w:type="dxa"/>
              <w:bottom w:w="0" w:type="dxa"/>
            </w:tcMar>
            <w:vAlign w:val="center"/>
          </w:tcPr>
          <w:p w14:paraId="377A697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1,593,031,784,364</w:t>
            </w:r>
          </w:p>
        </w:tc>
      </w:tr>
      <w:tr w:rsidR="00325D5B" w:rsidRPr="00E61EF8" w14:paraId="4898533D" w14:textId="77777777" w:rsidTr="00E61EF8">
        <w:tc>
          <w:tcPr>
            <w:tcW w:w="478" w:type="pct"/>
            <w:shd w:val="clear" w:color="auto" w:fill="auto"/>
            <w:tcMar>
              <w:top w:w="0" w:type="dxa"/>
              <w:bottom w:w="0" w:type="dxa"/>
            </w:tcMar>
            <w:vAlign w:val="center"/>
          </w:tcPr>
          <w:p w14:paraId="1E0B94D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10</w:t>
            </w:r>
          </w:p>
        </w:tc>
        <w:tc>
          <w:tcPr>
            <w:tcW w:w="2381" w:type="pct"/>
            <w:shd w:val="clear" w:color="auto" w:fill="auto"/>
            <w:tcMar>
              <w:top w:w="0" w:type="dxa"/>
              <w:bottom w:w="0" w:type="dxa"/>
            </w:tcMar>
            <w:vAlign w:val="center"/>
          </w:tcPr>
          <w:p w14:paraId="3D58CF8C"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Form of dividend payment</w:t>
            </w:r>
          </w:p>
        </w:tc>
        <w:tc>
          <w:tcPr>
            <w:tcW w:w="937" w:type="pct"/>
            <w:shd w:val="clear" w:color="auto" w:fill="auto"/>
            <w:tcMar>
              <w:top w:w="0" w:type="dxa"/>
              <w:bottom w:w="0" w:type="dxa"/>
            </w:tcMar>
            <w:vAlign w:val="center"/>
          </w:tcPr>
          <w:p w14:paraId="131EFB7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Shares</w:t>
            </w:r>
          </w:p>
        </w:tc>
        <w:tc>
          <w:tcPr>
            <w:tcW w:w="1204" w:type="pct"/>
            <w:shd w:val="clear" w:color="auto" w:fill="auto"/>
            <w:tcMar>
              <w:top w:w="0" w:type="dxa"/>
              <w:bottom w:w="0" w:type="dxa"/>
            </w:tcMar>
            <w:vAlign w:val="center"/>
          </w:tcPr>
          <w:p w14:paraId="26A2A4C8" w14:textId="77777777" w:rsidR="00325D5B" w:rsidRPr="00E61EF8" w:rsidRDefault="00325D5B" w:rsidP="00E61EF8">
            <w:pPr>
              <w:spacing w:after="120" w:line="360" w:lineRule="auto"/>
              <w:jc w:val="right"/>
              <w:rPr>
                <w:rFonts w:ascii="Arial" w:eastAsia="Arial" w:hAnsi="Arial" w:cs="Arial"/>
                <w:sz w:val="20"/>
                <w:szCs w:val="20"/>
              </w:rPr>
            </w:pPr>
          </w:p>
        </w:tc>
      </w:tr>
      <w:tr w:rsidR="00325D5B" w:rsidRPr="00E61EF8" w14:paraId="3860F1C6" w14:textId="77777777" w:rsidTr="00E61EF8">
        <w:tc>
          <w:tcPr>
            <w:tcW w:w="478" w:type="pct"/>
            <w:shd w:val="clear" w:color="auto" w:fill="auto"/>
            <w:tcMar>
              <w:top w:w="0" w:type="dxa"/>
              <w:bottom w:w="0" w:type="dxa"/>
            </w:tcMar>
            <w:vAlign w:val="center"/>
          </w:tcPr>
          <w:p w14:paraId="16BE290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11</w:t>
            </w:r>
          </w:p>
        </w:tc>
        <w:tc>
          <w:tcPr>
            <w:tcW w:w="2381" w:type="pct"/>
            <w:shd w:val="clear" w:color="auto" w:fill="auto"/>
            <w:tcMar>
              <w:top w:w="0" w:type="dxa"/>
              <w:bottom w:w="0" w:type="dxa"/>
            </w:tcMar>
            <w:vAlign w:val="center"/>
          </w:tcPr>
          <w:p w14:paraId="18397BB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used for dividend payment (expected to be equivalent to 25% of total outstanding common share capital at the time of recording the list of shareholders entitled to receive dividends)</w:t>
            </w:r>
          </w:p>
        </w:tc>
        <w:tc>
          <w:tcPr>
            <w:tcW w:w="937" w:type="pct"/>
            <w:shd w:val="clear" w:color="auto" w:fill="auto"/>
            <w:tcMar>
              <w:top w:w="0" w:type="dxa"/>
              <w:bottom w:w="0" w:type="dxa"/>
            </w:tcMar>
            <w:vAlign w:val="center"/>
          </w:tcPr>
          <w:p w14:paraId="704AEFF8" w14:textId="77777777" w:rsidR="00325D5B" w:rsidRPr="00E61EF8" w:rsidRDefault="00325D5B" w:rsidP="00E61EF8">
            <w:pPr>
              <w:spacing w:after="120" w:line="360" w:lineRule="auto"/>
              <w:jc w:val="center"/>
              <w:rPr>
                <w:rFonts w:ascii="Arial" w:eastAsia="Arial" w:hAnsi="Arial" w:cs="Arial"/>
                <w:sz w:val="20"/>
                <w:szCs w:val="20"/>
              </w:rPr>
            </w:pPr>
          </w:p>
        </w:tc>
        <w:tc>
          <w:tcPr>
            <w:tcW w:w="1204" w:type="pct"/>
            <w:shd w:val="clear" w:color="auto" w:fill="auto"/>
            <w:tcMar>
              <w:top w:w="0" w:type="dxa"/>
              <w:bottom w:w="0" w:type="dxa"/>
            </w:tcMar>
            <w:vAlign w:val="center"/>
          </w:tcPr>
          <w:p w14:paraId="05E4DF8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1,427,883,180,000</w:t>
            </w:r>
          </w:p>
        </w:tc>
      </w:tr>
      <w:tr w:rsidR="00325D5B" w:rsidRPr="00E61EF8" w14:paraId="156156ED" w14:textId="77777777" w:rsidTr="00E61EF8">
        <w:tc>
          <w:tcPr>
            <w:tcW w:w="478" w:type="pct"/>
            <w:shd w:val="clear" w:color="auto" w:fill="auto"/>
            <w:tcMar>
              <w:top w:w="0" w:type="dxa"/>
              <w:bottom w:w="0" w:type="dxa"/>
            </w:tcMar>
            <w:vAlign w:val="center"/>
          </w:tcPr>
          <w:p w14:paraId="7A2812B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12</w:t>
            </w:r>
          </w:p>
        </w:tc>
        <w:tc>
          <w:tcPr>
            <w:tcW w:w="2381" w:type="pct"/>
            <w:shd w:val="clear" w:color="auto" w:fill="auto"/>
            <w:tcMar>
              <w:top w:w="0" w:type="dxa"/>
              <w:bottom w:w="0" w:type="dxa"/>
            </w:tcMar>
            <w:vAlign w:val="center"/>
          </w:tcPr>
          <w:p w14:paraId="6E62015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Retained profit in 2023 not distributed</w:t>
            </w:r>
          </w:p>
        </w:tc>
        <w:tc>
          <w:tcPr>
            <w:tcW w:w="937" w:type="pct"/>
            <w:shd w:val="clear" w:color="auto" w:fill="auto"/>
            <w:tcMar>
              <w:top w:w="0" w:type="dxa"/>
              <w:bottom w:w="0" w:type="dxa"/>
            </w:tcMar>
            <w:vAlign w:val="center"/>
          </w:tcPr>
          <w:p w14:paraId="40DB50B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(9)-(11)</w:t>
            </w:r>
          </w:p>
        </w:tc>
        <w:tc>
          <w:tcPr>
            <w:tcW w:w="1204" w:type="pct"/>
            <w:shd w:val="clear" w:color="auto" w:fill="auto"/>
            <w:tcMar>
              <w:top w:w="0" w:type="dxa"/>
              <w:bottom w:w="0" w:type="dxa"/>
            </w:tcMar>
            <w:vAlign w:val="center"/>
          </w:tcPr>
          <w:p w14:paraId="38B51131"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165,148,604,364</w:t>
            </w:r>
          </w:p>
        </w:tc>
      </w:tr>
    </w:tbl>
    <w:p w14:paraId="52507892" w14:textId="77777777" w:rsidR="00325D5B" w:rsidRPr="00E61EF8" w:rsidRDefault="005223E8" w:rsidP="00E61EF8">
      <w:pPr>
        <w:numPr>
          <w:ilvl w:val="0"/>
          <w:numId w:val="15"/>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Assign/authorize the Board of Directors: (i) in case the Law on Credit Institutions in 2024 and legal documents for implementation (effective after the General Meeting of Shareholders approves this Proposal) have provisions or requirements on the percentage of funds to be appropriated in 2023 that are different from the above rates, the Board of Directors shall decide and implement the appropriation of funds to comply with the law; (ii) organize the distribution of profits and decide on the use of undistributed profits after tax and other equity sources on the basis of harmonizing the interests of Vietbank and shareholders, in accordance with the law; (iii) implement the plan to increase charter capital in 2024 through dividend payment by shares from the source of Retained Earnings up to 2023 to carry out procedures for seeking approval from the State Bank, the actual amount of dividend payment by shares depends on the Share Capital on the date of recording the list of shareholders for share distribution. The remaining amount due to rounding after share distribution will be included in the owner's equity as prescribed.</w:t>
      </w:r>
    </w:p>
    <w:p w14:paraId="742E54E6" w14:textId="77777777" w:rsidR="00325D5B" w:rsidRPr="00E61EF8" w:rsidRDefault="005223E8" w:rsidP="00E61EF8">
      <w:pPr>
        <w:numPr>
          <w:ilvl w:val="0"/>
          <w:numId w:val="11"/>
        </w:numPr>
        <w:pBdr>
          <w:top w:val="nil"/>
          <w:left w:val="nil"/>
          <w:bottom w:val="nil"/>
          <w:right w:val="nil"/>
          <w:between w:val="nil"/>
        </w:pBdr>
        <w:tabs>
          <w:tab w:val="left" w:pos="339"/>
        </w:tabs>
        <w:spacing w:after="120" w:line="360" w:lineRule="auto"/>
        <w:rPr>
          <w:rFonts w:ascii="Arial" w:eastAsia="Arial" w:hAnsi="Arial" w:cs="Arial"/>
          <w:sz w:val="20"/>
          <w:szCs w:val="20"/>
        </w:rPr>
      </w:pPr>
      <w:r>
        <w:rPr>
          <w:rFonts w:ascii="Arial" w:hAnsi="Arial"/>
          <w:sz w:val="20"/>
        </w:rPr>
        <w:t>Approve the Proposal on increasing Charter Capital in 2024, accordingly, the General Meeting of Shareholders approves:</w:t>
      </w:r>
    </w:p>
    <w:p w14:paraId="307BEFEB" w14:textId="77777777" w:rsidR="00325D5B" w:rsidRPr="00E61EF8" w:rsidRDefault="005223E8" w:rsidP="00E61EF8">
      <w:pPr>
        <w:numPr>
          <w:ilvl w:val="0"/>
          <w:numId w:val="13"/>
        </w:numPr>
        <w:pBdr>
          <w:top w:val="nil"/>
          <w:left w:val="nil"/>
          <w:bottom w:val="nil"/>
          <w:right w:val="nil"/>
          <w:between w:val="nil"/>
        </w:pBdr>
        <w:tabs>
          <w:tab w:val="left" w:pos="339"/>
        </w:tabs>
        <w:spacing w:after="120" w:line="360" w:lineRule="auto"/>
        <w:rPr>
          <w:rFonts w:ascii="Arial" w:eastAsia="Arial" w:hAnsi="Arial" w:cs="Arial"/>
          <w:sz w:val="20"/>
          <w:szCs w:val="20"/>
        </w:rPr>
      </w:pPr>
      <w:r>
        <w:rPr>
          <w:rFonts w:ascii="Arial" w:hAnsi="Arial"/>
          <w:sz w:val="20"/>
        </w:rPr>
        <w:t>Increase in charter capital:</w:t>
      </w:r>
    </w:p>
    <w:p w14:paraId="1DAFE7A9"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 xml:space="preserve">Charter capital as of December 31, 2023: VND 4,776,826,690,000, corresponding to 447,682,669 shares, of which </w:t>
      </w:r>
    </w:p>
    <w:p w14:paraId="0056F758" w14:textId="77777777" w:rsidR="00325D5B" w:rsidRPr="00E61EF8" w:rsidRDefault="005223E8" w:rsidP="00E61EF8">
      <w:pPr>
        <w:numPr>
          <w:ilvl w:val="0"/>
          <w:numId w:val="17"/>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 xml:space="preserve">Common share 477,682,669 shares; </w:t>
      </w:r>
    </w:p>
    <w:p w14:paraId="235BA03F" w14:textId="77777777" w:rsidR="00325D5B" w:rsidRPr="00E61EF8" w:rsidRDefault="005223E8" w:rsidP="00E61EF8">
      <w:pPr>
        <w:numPr>
          <w:ilvl w:val="0"/>
          <w:numId w:val="17"/>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Preferred shares: 0;</w:t>
      </w:r>
    </w:p>
    <w:p w14:paraId="0D1F49FD" w14:textId="77777777" w:rsidR="00325D5B" w:rsidRPr="00E61EF8" w:rsidRDefault="005223E8" w:rsidP="00E61EF8">
      <w:pPr>
        <w:numPr>
          <w:ilvl w:val="0"/>
          <w:numId w:val="17"/>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Treasury shares: 0.</w:t>
      </w:r>
    </w:p>
    <w:p w14:paraId="04661A26"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Total charter capital increase: VND 2,362,589,190,000, in which:</w:t>
      </w:r>
    </w:p>
    <w:p w14:paraId="5C05CFDC" w14:textId="77777777" w:rsidR="00325D5B" w:rsidRPr="00E61EF8" w:rsidRDefault="005223E8" w:rsidP="00E61EF8">
      <w:pPr>
        <w:numPr>
          <w:ilvl w:val="0"/>
          <w:numId w:val="18"/>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 xml:space="preserve">Increase from issuance of shares to existing shareholders according to the Plan to increase charter capital approved by the Annual General Meeting of Shareholders in 2023 in General Mandate No. 01/2023/NQ-DHCDCD dated April 26, 2023 and approved by the State Bank according to Document No. 5872/NHNN - TTGSNH dated July 25, 2023; the State Securities Commission </w:t>
      </w:r>
      <w:r>
        <w:rPr>
          <w:rFonts w:ascii="Arial" w:hAnsi="Arial"/>
          <w:sz w:val="20"/>
        </w:rPr>
        <w:lastRenderedPageBreak/>
        <w:t>announced the Certificate of Registration for additional public offering of shares No. 437/GCN-UBCK dated December 19, 2023, extending the Certificate of Registration for additional public offering of shares for another 30 days according to Decision No. 229/QD-UBCK dated February 26, 2024 and Document No. 2478/UBCK-QLCB dated April 19, 2024 confirming the offering results: VND 934,706,010,000.</w:t>
      </w:r>
    </w:p>
    <w:p w14:paraId="660423A1" w14:textId="77777777" w:rsidR="00325D5B" w:rsidRPr="00E61EF8" w:rsidRDefault="005223E8" w:rsidP="00E61EF8">
      <w:pPr>
        <w:numPr>
          <w:ilvl w:val="0"/>
          <w:numId w:val="18"/>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Expected additional charter capital from the implementation of the new Plan to increase charter capital in 2024: VND 1,427,883,180,000, an increase of 25% compared to the expected additional charter capital;</w:t>
      </w:r>
    </w:p>
    <w:p w14:paraId="47D7C93B" w14:textId="77777777" w:rsidR="00325D5B" w:rsidRPr="00E61EF8" w:rsidRDefault="005223E8" w:rsidP="00E61EF8">
      <w:pPr>
        <w:numPr>
          <w:ilvl w:val="0"/>
          <w:numId w:val="10"/>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New expected Charter Capital after completing the capital increase: VND 7,139,415,880,000.</w:t>
      </w:r>
    </w:p>
    <w:p w14:paraId="3C4FABEF" w14:textId="77777777" w:rsidR="00325D5B" w:rsidRPr="00E61EF8" w:rsidRDefault="005223E8" w:rsidP="00E61EF8">
      <w:pPr>
        <w:numPr>
          <w:ilvl w:val="0"/>
          <w:numId w:val="13"/>
        </w:numPr>
        <w:pBdr>
          <w:top w:val="nil"/>
          <w:left w:val="nil"/>
          <w:bottom w:val="nil"/>
          <w:right w:val="nil"/>
          <w:between w:val="nil"/>
        </w:pBdr>
        <w:tabs>
          <w:tab w:val="left" w:pos="339"/>
        </w:tabs>
        <w:spacing w:after="120" w:line="360" w:lineRule="auto"/>
        <w:rPr>
          <w:rFonts w:ascii="Arial" w:eastAsia="Arial" w:hAnsi="Arial" w:cs="Arial"/>
          <w:sz w:val="20"/>
          <w:szCs w:val="20"/>
        </w:rPr>
      </w:pPr>
      <w:r>
        <w:rPr>
          <w:rFonts w:ascii="Arial" w:hAnsi="Arial"/>
          <w:sz w:val="20"/>
        </w:rPr>
        <w:t>Plan on increasing charter capital</w:t>
      </w:r>
    </w:p>
    <w:p w14:paraId="5783BEF3" w14:textId="77777777" w:rsidR="00325D5B" w:rsidRPr="00E61EF8" w:rsidRDefault="005223E8" w:rsidP="00E61EF8">
      <w:pPr>
        <w:numPr>
          <w:ilvl w:val="1"/>
          <w:numId w:val="15"/>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Continue to implement the Plan to increase capital through offering shares to existing shareholders (approved by the State Bank of Vietnam according to Document No. 5872/NHNN - TTGSNH dated July 25, 2023; the State Securities Commission announced the Certificate of Registration for additional public offering of shares No. 437/GCN-UBCK dated December 19, 2023, extending the Certificate of Registration for additional public offering of shares for another 30 days according to Decision No. 229/QD-UBCK dated February 26, 2024):</w:t>
      </w:r>
    </w:p>
    <w:p w14:paraId="744142EC"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capital increase amount: VND 934,706,010,000.</w:t>
      </w:r>
    </w:p>
    <w:p w14:paraId="06B13EFD"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As of now, the offering of shares to existing shareholders has been completed and the State Securities Commission has confirmed the offering results according to Document No. 2478/UBCK-QLCB dated April 19, 2024 with the number of successfully offered shares being 93,470,601 shares, corresponding to the charter capital increase of: VND 934,706,010,000.</w:t>
      </w:r>
    </w:p>
    <w:p w14:paraId="58CA2F13"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Currently, Vietbank is carrying out procedures to request the State Bank of Vietnam to approve the amendment of Vietbank's Operating License regarding the content of Charter Capital.</w:t>
      </w:r>
    </w:p>
    <w:p w14:paraId="5F7CCA76"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Expected completion time: Q2, Q3/2024.</w:t>
      </w:r>
    </w:p>
    <w:p w14:paraId="516FF38C" w14:textId="77777777" w:rsidR="00325D5B" w:rsidRPr="00E61EF8" w:rsidRDefault="005223E8" w:rsidP="00E61EF8">
      <w:pPr>
        <w:numPr>
          <w:ilvl w:val="1"/>
          <w:numId w:val="15"/>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Plan to increase charter capital through issuance of shares for dividend payment:</w:t>
      </w:r>
    </w:p>
    <w:p w14:paraId="4EDF242A"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Increase charter capital by an additional VND 1,427,883,180,000 through the issuance of 142,788,318 common shares for dividend payment (equivalent to 25% of the total outstanding common shares - including shares issued to existing shareholders in item 7.2.(i)).</w:t>
      </w:r>
    </w:p>
    <w:p w14:paraId="617B4515"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Subjects of the issuance: existing shareholders named in Vietbank's shareholder list at the time of closing the list of shareholders to receive dividends in common shares in accordance with the law from time to time;</w:t>
      </w:r>
    </w:p>
    <w:p w14:paraId="51163110"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Number of shares expected to be issued: 142,788,318 shares, par value of VND 10,000/share;</w:t>
      </w:r>
    </w:p>
    <w:p w14:paraId="5B650502"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par value of issued bond: VND 1,427,883,180,000;</w:t>
      </w:r>
    </w:p>
    <w:p w14:paraId="4D7E0188"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Supplementary capital reserve fund as of December 31, 2023: VND 166,465,878,960;</w:t>
      </w:r>
    </w:p>
    <w:p w14:paraId="760D9625"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lastRenderedPageBreak/>
        <w:t>Accumulated undistributed profit as of December 31, 2023: VND 329,334,126,442;</w:t>
      </w:r>
    </w:p>
    <w:p w14:paraId="0245FE2F"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Accumulated undistributed profit as of December 31, 2023 VND 1,623,031,784,364</w:t>
      </w:r>
    </w:p>
    <w:p w14:paraId="5235048D"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Source for implementation: from accumulated undistributed profit as of December 31, 2023, in accordance with regulations, of which:</w:t>
      </w:r>
    </w:p>
    <w:p w14:paraId="56FC66E5" w14:textId="77777777" w:rsidR="00325D5B" w:rsidRPr="00E61EF8" w:rsidRDefault="005223E8" w:rsidP="00E61EF8">
      <w:pPr>
        <w:numPr>
          <w:ilvl w:val="0"/>
          <w:numId w:val="2"/>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Consolidated profit after tax of Vietbank in 2023:  VND 646,866,026,767;</w:t>
      </w:r>
    </w:p>
    <w:p w14:paraId="2C044F96" w14:textId="77777777" w:rsidR="00325D5B" w:rsidRPr="00E61EF8" w:rsidRDefault="005223E8" w:rsidP="00E61EF8">
      <w:pPr>
        <w:numPr>
          <w:ilvl w:val="0"/>
          <w:numId w:val="2"/>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Separate profit after tax of Vietbank in 2023: VND 646,866,026,767;</w:t>
      </w:r>
    </w:p>
    <w:p w14:paraId="3C6DF2A7" w14:textId="77777777" w:rsidR="00325D5B" w:rsidRPr="00E61EF8" w:rsidRDefault="005223E8" w:rsidP="00E61EF8">
      <w:pPr>
        <w:numPr>
          <w:ilvl w:val="0"/>
          <w:numId w:val="2"/>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highlight w:val="white"/>
        </w:rPr>
        <w:t>Accumulated consolidated undistributed profit after tax of Vietbank up to 2023:</w:t>
      </w:r>
      <w:r>
        <w:rPr>
          <w:rFonts w:ascii="Arial" w:hAnsi="Arial"/>
          <w:sz w:val="20"/>
        </w:rPr>
        <w:t xml:space="preserve"> VND 1,623,031,784,364;</w:t>
      </w:r>
    </w:p>
    <w:p w14:paraId="6102BD3E" w14:textId="77777777" w:rsidR="00325D5B" w:rsidRPr="00E61EF8" w:rsidRDefault="005223E8" w:rsidP="00E61EF8">
      <w:pPr>
        <w:numPr>
          <w:ilvl w:val="0"/>
          <w:numId w:val="2"/>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Accumulated consolidated undistributed profit after tax of Vietbank up to 2023 after appropriation to funds:  VND 1,593,031,784,364;</w:t>
      </w:r>
    </w:p>
    <w:p w14:paraId="4122E5CA" w14:textId="77777777" w:rsidR="00325D5B" w:rsidRPr="00E61EF8" w:rsidRDefault="005223E8" w:rsidP="00E61EF8">
      <w:pPr>
        <w:numPr>
          <w:ilvl w:val="0"/>
          <w:numId w:val="2"/>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Accumulated separate undistributed profit after tax of Vietbank up to 2023:  VND 1,623,031,784,364;</w:t>
      </w:r>
    </w:p>
    <w:p w14:paraId="72D6504B" w14:textId="77777777" w:rsidR="00325D5B" w:rsidRPr="00E61EF8" w:rsidRDefault="005223E8" w:rsidP="00E61EF8">
      <w:pPr>
        <w:numPr>
          <w:ilvl w:val="0"/>
          <w:numId w:val="2"/>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Accumulated separate undistributed profit after tax of Vietbank up to 2023 after appropriation to funds:  VND 1,593,031,784,364.</w:t>
      </w:r>
    </w:p>
    <w:p w14:paraId="22D34C40"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List of shareholders and ownership percentage of shareholders with ownership of 5% or more compared to voting share capital and charter capital at the current time and expected after the capital increase - attached.</w:t>
      </w:r>
    </w:p>
    <w:p w14:paraId="1F210898"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List of shareholders and related persons with share ownership of 20% or more compared to the charter capital at the current time and expected after the capital increase - attached.</w:t>
      </w:r>
    </w:p>
    <w:p w14:paraId="515384C9"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The current total foreign investor ownership is 0.00% and is expected to be 0.00% after the capital increase.</w:t>
      </w:r>
    </w:p>
    <w:p w14:paraId="0C19FD7F"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Transfer restriction time: Not subject to transfer restrictions;</w:t>
      </w:r>
    </w:p>
    <w:p w14:paraId="5C1EA8E2"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Implementation time: Expected from Q4/2024 to Q1/2025. The specific implementation time is assigned to the Board of Directors to decide on the basis of compliance with the License/Approval of the competent State management agency and in accordance with market conditions.</w:t>
      </w:r>
    </w:p>
    <w:p w14:paraId="1F41C556"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Plan for handling fractional shares:</w:t>
      </w:r>
    </w:p>
    <w:p w14:paraId="393C48E9" w14:textId="77777777" w:rsidR="00325D5B" w:rsidRPr="00E61EF8" w:rsidRDefault="005223E8" w:rsidP="00E61EF8">
      <w:pPr>
        <w:numPr>
          <w:ilvl w:val="0"/>
          <w:numId w:val="4"/>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The number of shares issued is calculated by integers, the decimal part will be rounded down (to 0 shares);</w:t>
      </w:r>
    </w:p>
    <w:p w14:paraId="58C5F639" w14:textId="77777777" w:rsidR="00325D5B" w:rsidRPr="00E61EF8" w:rsidRDefault="005223E8" w:rsidP="00E61EF8">
      <w:pPr>
        <w:numPr>
          <w:ilvl w:val="0"/>
          <w:numId w:val="4"/>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Fractional shares arising (if any) are assigned to the Board of Directors to decide;</w:t>
      </w:r>
    </w:p>
    <w:p w14:paraId="3D83D1E8"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Plan to use the raised capital:</w:t>
      </w:r>
    </w:p>
    <w:p w14:paraId="05188C0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The entire capital increase of VND 1,427,883,180,000 from the share issuance in 2024 is expected to be used entirely for asset investment, supplementing capital sources for development, expanding the operating network, ensuring compliance with safety rates in operations, generating profits for </w:t>
      </w:r>
      <w:r>
        <w:rPr>
          <w:rFonts w:ascii="Arial" w:hAnsi="Arial"/>
          <w:sz w:val="20"/>
        </w:rPr>
        <w:lastRenderedPageBreak/>
        <w:t>Vietbank's business activities, ensuring compliance with the SBV's regulations on the ratio of fixed asset investment for credit institutions.</w:t>
      </w:r>
    </w:p>
    <w:p w14:paraId="19C07462" w14:textId="77777777" w:rsidR="00325D5B" w:rsidRPr="00E61EF8" w:rsidRDefault="005223E8" w:rsidP="00E61EF8">
      <w:pPr>
        <w:numPr>
          <w:ilvl w:val="0"/>
          <w:numId w:val="13"/>
        </w:numPr>
        <w:pBdr>
          <w:top w:val="nil"/>
          <w:left w:val="nil"/>
          <w:bottom w:val="nil"/>
          <w:right w:val="nil"/>
          <w:between w:val="nil"/>
        </w:pBdr>
        <w:tabs>
          <w:tab w:val="left" w:pos="673"/>
        </w:tabs>
        <w:spacing w:after="120" w:line="360" w:lineRule="auto"/>
        <w:rPr>
          <w:rFonts w:ascii="Arial" w:eastAsia="Arial" w:hAnsi="Arial" w:cs="Arial"/>
          <w:sz w:val="20"/>
          <w:szCs w:val="20"/>
        </w:rPr>
      </w:pPr>
      <w:r>
        <w:rPr>
          <w:rFonts w:ascii="Arial" w:hAnsi="Arial"/>
          <w:sz w:val="20"/>
        </w:rPr>
        <w:t>Business efficiency on the new Charter Capital level:</w:t>
      </w:r>
    </w:p>
    <w:p w14:paraId="073DA1E8"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Regarding the above plan to increase charter capital and use the additional charter capital, Vietbank expects some key business plan targets for 2024 as follows:</w:t>
      </w:r>
    </w:p>
    <w:p w14:paraId="6278EDA3"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Billion VND</w:t>
      </w:r>
    </w:p>
    <w:tbl>
      <w:tblPr>
        <w:tblStyle w:val="a6"/>
        <w:tblW w:w="5000" w:type="pct"/>
        <w:tblLook w:val="0000" w:firstRow="0" w:lastRow="0" w:firstColumn="0" w:lastColumn="0" w:noHBand="0" w:noVBand="0"/>
      </w:tblPr>
      <w:tblGrid>
        <w:gridCol w:w="619"/>
        <w:gridCol w:w="4366"/>
        <w:gridCol w:w="23"/>
        <w:gridCol w:w="1572"/>
        <w:gridCol w:w="25"/>
        <w:gridCol w:w="1208"/>
        <w:gridCol w:w="41"/>
        <w:gridCol w:w="1113"/>
        <w:gridCol w:w="49"/>
      </w:tblGrid>
      <w:tr w:rsidR="00325D5B" w:rsidRPr="00E61EF8" w14:paraId="1B01105E" w14:textId="77777777" w:rsidTr="00E61EF8">
        <w:tc>
          <w:tcPr>
            <w:tcW w:w="343" w:type="pct"/>
            <w:vMerge w:val="restart"/>
            <w:tcBorders>
              <w:top w:val="single" w:sz="4" w:space="0" w:color="000000"/>
              <w:left w:val="single" w:sz="4" w:space="0" w:color="000000"/>
            </w:tcBorders>
            <w:shd w:val="clear" w:color="auto" w:fill="auto"/>
            <w:tcMar>
              <w:top w:w="0" w:type="dxa"/>
              <w:bottom w:w="0" w:type="dxa"/>
            </w:tcMar>
            <w:vAlign w:val="center"/>
          </w:tcPr>
          <w:p w14:paraId="5441746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No.</w:t>
            </w:r>
          </w:p>
        </w:tc>
        <w:tc>
          <w:tcPr>
            <w:tcW w:w="2434" w:type="pct"/>
            <w:gridSpan w:val="2"/>
            <w:vMerge w:val="restart"/>
            <w:tcBorders>
              <w:top w:val="single" w:sz="4" w:space="0" w:color="000000"/>
              <w:left w:val="single" w:sz="4" w:space="0" w:color="000000"/>
            </w:tcBorders>
            <w:shd w:val="clear" w:color="auto" w:fill="auto"/>
            <w:tcMar>
              <w:top w:w="0" w:type="dxa"/>
              <w:bottom w:w="0" w:type="dxa"/>
            </w:tcMar>
            <w:vAlign w:val="center"/>
          </w:tcPr>
          <w:p w14:paraId="6E1CA79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w:t>
            </w:r>
          </w:p>
        </w:tc>
        <w:tc>
          <w:tcPr>
            <w:tcW w:w="886" w:type="pct"/>
            <w:gridSpan w:val="2"/>
            <w:vMerge w:val="restart"/>
            <w:tcBorders>
              <w:top w:val="single" w:sz="4" w:space="0" w:color="000000"/>
              <w:left w:val="single" w:sz="4" w:space="0" w:color="000000"/>
            </w:tcBorders>
            <w:shd w:val="clear" w:color="auto" w:fill="auto"/>
            <w:tcMar>
              <w:top w:w="0" w:type="dxa"/>
              <w:bottom w:w="0" w:type="dxa"/>
            </w:tcMar>
            <w:vAlign w:val="center"/>
          </w:tcPr>
          <w:p w14:paraId="5C55D02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Results 2023</w:t>
            </w:r>
          </w:p>
        </w:tc>
        <w:tc>
          <w:tcPr>
            <w:tcW w:w="1337"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14:paraId="631E431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Plan 2024</w:t>
            </w:r>
          </w:p>
        </w:tc>
      </w:tr>
      <w:tr w:rsidR="00325D5B" w:rsidRPr="00E61EF8" w14:paraId="758F392B" w14:textId="77777777" w:rsidTr="00E61EF8">
        <w:tc>
          <w:tcPr>
            <w:tcW w:w="343" w:type="pct"/>
            <w:vMerge/>
            <w:tcBorders>
              <w:top w:val="single" w:sz="4" w:space="0" w:color="000000"/>
              <w:left w:val="single" w:sz="4" w:space="0" w:color="000000"/>
            </w:tcBorders>
            <w:shd w:val="clear" w:color="auto" w:fill="auto"/>
            <w:tcMar>
              <w:top w:w="0" w:type="dxa"/>
              <w:bottom w:w="0" w:type="dxa"/>
            </w:tcMar>
            <w:vAlign w:val="center"/>
          </w:tcPr>
          <w:p w14:paraId="12DDAA69"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2434" w:type="pct"/>
            <w:gridSpan w:val="2"/>
            <w:vMerge/>
            <w:tcBorders>
              <w:top w:val="single" w:sz="4" w:space="0" w:color="000000"/>
              <w:left w:val="single" w:sz="4" w:space="0" w:color="000000"/>
            </w:tcBorders>
            <w:shd w:val="clear" w:color="auto" w:fill="auto"/>
            <w:tcMar>
              <w:top w:w="0" w:type="dxa"/>
              <w:bottom w:w="0" w:type="dxa"/>
            </w:tcMar>
            <w:vAlign w:val="center"/>
          </w:tcPr>
          <w:p w14:paraId="5CDF43D4"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886" w:type="pct"/>
            <w:gridSpan w:val="2"/>
            <w:vMerge/>
            <w:tcBorders>
              <w:top w:val="single" w:sz="4" w:space="0" w:color="000000"/>
              <w:left w:val="single" w:sz="4" w:space="0" w:color="000000"/>
            </w:tcBorders>
            <w:shd w:val="clear" w:color="auto" w:fill="auto"/>
            <w:tcMar>
              <w:top w:w="0" w:type="dxa"/>
              <w:bottom w:w="0" w:type="dxa"/>
            </w:tcMar>
            <w:vAlign w:val="center"/>
          </w:tcPr>
          <w:p w14:paraId="7C39F301"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562C6925"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Targets</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00CA8CF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Growth rate</w:t>
            </w:r>
          </w:p>
        </w:tc>
      </w:tr>
      <w:tr w:rsidR="005223E8" w:rsidRPr="00E61EF8" w14:paraId="28D074BD"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12912B7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663D81EB"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Charter capital</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60AE00B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4,777</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0E5E5F5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7,139</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557C9E4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49.45%</w:t>
            </w:r>
          </w:p>
        </w:tc>
      </w:tr>
      <w:tr w:rsidR="005223E8" w:rsidRPr="00E61EF8" w14:paraId="2C62DE57"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601B4EE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12AFB2E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Credit exposure (a + b)</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796E91AB"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21D739D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95,000</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58D2DC8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18%</w:t>
            </w:r>
          </w:p>
        </w:tc>
      </w:tr>
      <w:tr w:rsidR="005223E8" w:rsidRPr="00E61EF8" w14:paraId="5B4776DA"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67F88B64"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a</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450868B9"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Loans to customers</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6EA6628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80,754</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001F201A" w14:textId="77777777" w:rsidR="00325D5B" w:rsidRPr="00E61EF8" w:rsidRDefault="00325D5B" w:rsidP="00E61EF8">
            <w:pPr>
              <w:spacing w:after="120" w:line="360" w:lineRule="auto"/>
              <w:jc w:val="right"/>
              <w:rPr>
                <w:rFonts w:ascii="Arial" w:eastAsia="Arial" w:hAnsi="Arial" w:cs="Arial"/>
                <w:sz w:val="20"/>
                <w:szCs w:val="20"/>
              </w:rPr>
            </w:pP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451F4283" w14:textId="77777777" w:rsidR="00325D5B" w:rsidRPr="00E61EF8" w:rsidRDefault="00325D5B" w:rsidP="00E61EF8">
            <w:pPr>
              <w:spacing w:after="120" w:line="360" w:lineRule="auto"/>
              <w:jc w:val="right"/>
              <w:rPr>
                <w:rFonts w:ascii="Arial" w:eastAsia="Arial" w:hAnsi="Arial" w:cs="Arial"/>
                <w:sz w:val="20"/>
                <w:szCs w:val="20"/>
              </w:rPr>
            </w:pPr>
          </w:p>
        </w:tc>
      </w:tr>
      <w:tr w:rsidR="005223E8" w:rsidRPr="00E61EF8" w14:paraId="3E9950F6"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5FA77A8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3715B955"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Balance of purchased and invested corporate bonds</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5773D59B"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11D69273" w14:textId="77777777" w:rsidR="00325D5B" w:rsidRPr="00E61EF8" w:rsidRDefault="00325D5B" w:rsidP="00E61EF8">
            <w:pPr>
              <w:spacing w:after="120" w:line="360" w:lineRule="auto"/>
              <w:jc w:val="right"/>
              <w:rPr>
                <w:rFonts w:ascii="Arial" w:eastAsia="Arial" w:hAnsi="Arial" w:cs="Arial"/>
                <w:sz w:val="20"/>
                <w:szCs w:val="20"/>
              </w:rPr>
            </w:pP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6FBCF1E8" w14:textId="77777777" w:rsidR="00325D5B" w:rsidRPr="00E61EF8" w:rsidRDefault="00325D5B" w:rsidP="00E61EF8">
            <w:pPr>
              <w:spacing w:after="120" w:line="360" w:lineRule="auto"/>
              <w:jc w:val="right"/>
              <w:rPr>
                <w:rFonts w:ascii="Arial" w:eastAsia="Arial" w:hAnsi="Arial" w:cs="Arial"/>
                <w:sz w:val="20"/>
                <w:szCs w:val="20"/>
              </w:rPr>
            </w:pPr>
          </w:p>
        </w:tc>
      </w:tr>
      <w:tr w:rsidR="005223E8" w:rsidRPr="00E61EF8" w14:paraId="22DB7C47"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1AC3B4A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60F52DFF"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Deposits from customers (including valuable papers)</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38F2819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101,552</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4A62D55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116,000</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4C9FA07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w:t>
            </w:r>
          </w:p>
        </w:tc>
      </w:tr>
      <w:tr w:rsidR="005223E8" w:rsidRPr="00E61EF8" w14:paraId="53517654"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593B661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4</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56C95AD3"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Deposits at and loans to other credit institutions</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05AE26E6"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26,548</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0516FBA8"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22,786</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5DC1150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-14%</w:t>
            </w:r>
          </w:p>
        </w:tc>
      </w:tr>
      <w:tr w:rsidR="005223E8" w:rsidRPr="00E61EF8" w14:paraId="6AB02DC8"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77354FDA"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5</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53454825"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Deposits from and loans from other credit institutions</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23ED874A"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26,622</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6A6BDF2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21,565</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475D8B2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-19%</w:t>
            </w:r>
          </w:p>
        </w:tc>
      </w:tr>
      <w:tr w:rsidR="005223E8" w:rsidRPr="00E61EF8" w14:paraId="20673644"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03D950F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6</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4303B825"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assets</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00BC47ED"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138,262</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521FF277"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150,000</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2EA58EE2"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w:t>
            </w:r>
          </w:p>
        </w:tc>
      </w:tr>
      <w:tr w:rsidR="005223E8" w:rsidRPr="00E61EF8" w14:paraId="61D543F8" w14:textId="77777777" w:rsidTr="00E61EF8">
        <w:tc>
          <w:tcPr>
            <w:tcW w:w="343" w:type="pct"/>
            <w:tcBorders>
              <w:top w:val="single" w:sz="4" w:space="0" w:color="000000"/>
              <w:left w:val="single" w:sz="4" w:space="0" w:color="000000"/>
            </w:tcBorders>
            <w:shd w:val="clear" w:color="auto" w:fill="auto"/>
            <w:tcMar>
              <w:top w:w="0" w:type="dxa"/>
              <w:bottom w:w="0" w:type="dxa"/>
            </w:tcMar>
            <w:vAlign w:val="center"/>
          </w:tcPr>
          <w:p w14:paraId="3299911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7</w:t>
            </w:r>
          </w:p>
        </w:tc>
        <w:tc>
          <w:tcPr>
            <w:tcW w:w="2434" w:type="pct"/>
            <w:gridSpan w:val="2"/>
            <w:tcBorders>
              <w:top w:val="single" w:sz="4" w:space="0" w:color="000000"/>
              <w:left w:val="single" w:sz="4" w:space="0" w:color="000000"/>
            </w:tcBorders>
            <w:shd w:val="clear" w:color="auto" w:fill="auto"/>
            <w:tcMar>
              <w:top w:w="0" w:type="dxa"/>
              <w:bottom w:w="0" w:type="dxa"/>
            </w:tcMar>
            <w:vAlign w:val="center"/>
          </w:tcPr>
          <w:p w14:paraId="485FF6A6"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before tax</w:t>
            </w:r>
          </w:p>
        </w:tc>
        <w:tc>
          <w:tcPr>
            <w:tcW w:w="886" w:type="pct"/>
            <w:gridSpan w:val="2"/>
            <w:tcBorders>
              <w:top w:val="single" w:sz="4" w:space="0" w:color="000000"/>
              <w:left w:val="single" w:sz="4" w:space="0" w:color="000000"/>
            </w:tcBorders>
            <w:shd w:val="clear" w:color="auto" w:fill="auto"/>
            <w:tcMar>
              <w:top w:w="0" w:type="dxa"/>
              <w:bottom w:w="0" w:type="dxa"/>
            </w:tcMar>
            <w:vAlign w:val="center"/>
          </w:tcPr>
          <w:p w14:paraId="2486093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812</w:t>
            </w:r>
          </w:p>
        </w:tc>
        <w:tc>
          <w:tcPr>
            <w:tcW w:w="693" w:type="pct"/>
            <w:gridSpan w:val="2"/>
            <w:tcBorders>
              <w:top w:val="single" w:sz="4" w:space="0" w:color="000000"/>
              <w:left w:val="single" w:sz="4" w:space="0" w:color="000000"/>
            </w:tcBorders>
            <w:shd w:val="clear" w:color="auto" w:fill="auto"/>
            <w:tcMar>
              <w:top w:w="0" w:type="dxa"/>
              <w:bottom w:w="0" w:type="dxa"/>
            </w:tcMar>
            <w:vAlign w:val="center"/>
          </w:tcPr>
          <w:p w14:paraId="451D0ED9"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1,050</w:t>
            </w:r>
          </w:p>
        </w:tc>
        <w:tc>
          <w:tcPr>
            <w:tcW w:w="644"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06CF82B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29%</w:t>
            </w:r>
          </w:p>
        </w:tc>
      </w:tr>
      <w:tr w:rsidR="005223E8" w:rsidRPr="00E61EF8" w14:paraId="24692423" w14:textId="77777777" w:rsidTr="00E61EF8">
        <w:tc>
          <w:tcPr>
            <w:tcW w:w="34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D9D7D7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8</w:t>
            </w:r>
          </w:p>
        </w:tc>
        <w:tc>
          <w:tcPr>
            <w:tcW w:w="2434"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E378E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Non-performing loan rate (NPL)</w:t>
            </w:r>
          </w:p>
        </w:tc>
        <w:tc>
          <w:tcPr>
            <w:tcW w:w="886"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AA1152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1.8%</w:t>
            </w:r>
          </w:p>
        </w:tc>
        <w:tc>
          <w:tcPr>
            <w:tcW w:w="693"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0B427B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 2.5%</w:t>
            </w:r>
          </w:p>
        </w:tc>
        <w:tc>
          <w:tcPr>
            <w:tcW w:w="64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A6589EC" w14:textId="77777777" w:rsidR="00325D5B" w:rsidRPr="00E61EF8" w:rsidRDefault="00325D5B" w:rsidP="00E61EF8">
            <w:pPr>
              <w:spacing w:after="120" w:line="360" w:lineRule="auto"/>
              <w:jc w:val="right"/>
              <w:rPr>
                <w:rFonts w:ascii="Arial" w:eastAsia="Arial" w:hAnsi="Arial" w:cs="Arial"/>
                <w:sz w:val="20"/>
                <w:szCs w:val="20"/>
              </w:rPr>
            </w:pPr>
          </w:p>
        </w:tc>
      </w:tr>
      <w:tr w:rsidR="005223E8" w:rsidRPr="00E61EF8" w14:paraId="0D755778" w14:textId="77777777" w:rsidTr="00E61EF8">
        <w:tc>
          <w:tcPr>
            <w:tcW w:w="34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09C20D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9</w:t>
            </w:r>
          </w:p>
        </w:tc>
        <w:tc>
          <w:tcPr>
            <w:tcW w:w="2434"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0A5A96F"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Capital Adequacy Rate (CAR) according to Circular 41</w:t>
            </w:r>
          </w:p>
        </w:tc>
        <w:tc>
          <w:tcPr>
            <w:tcW w:w="886"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E61D792"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10.39%</w:t>
            </w:r>
          </w:p>
        </w:tc>
        <w:tc>
          <w:tcPr>
            <w:tcW w:w="693"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A97EA7B"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11%</w:t>
            </w:r>
          </w:p>
        </w:tc>
        <w:tc>
          <w:tcPr>
            <w:tcW w:w="64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10B66D8" w14:textId="77777777" w:rsidR="00325D5B" w:rsidRPr="00E61EF8" w:rsidRDefault="005223E8" w:rsidP="00E61EF8">
            <w:pPr>
              <w:spacing w:after="120" w:line="360" w:lineRule="auto"/>
              <w:jc w:val="right"/>
              <w:rPr>
                <w:rFonts w:ascii="Arial" w:eastAsia="Arial" w:hAnsi="Arial" w:cs="Arial"/>
                <w:sz w:val="20"/>
                <w:szCs w:val="20"/>
              </w:rPr>
            </w:pPr>
            <w:r>
              <w:rPr>
                <w:rFonts w:ascii="Arial" w:hAnsi="Arial"/>
                <w:sz w:val="20"/>
              </w:rPr>
              <w:t>5.87%</w:t>
            </w:r>
          </w:p>
        </w:tc>
      </w:tr>
      <w:tr w:rsidR="00325D5B" w:rsidRPr="00E61EF8" w14:paraId="0EBBE9B8" w14:textId="77777777" w:rsidTr="00E61EF8">
        <w:trPr>
          <w:gridAfter w:val="1"/>
          <w:wAfter w:w="27" w:type="pct"/>
        </w:trPr>
        <w:tc>
          <w:tcPr>
            <w:tcW w:w="343" w:type="pct"/>
            <w:tcBorders>
              <w:top w:val="single" w:sz="4" w:space="0" w:color="000000"/>
              <w:left w:val="single" w:sz="4" w:space="0" w:color="000000"/>
            </w:tcBorders>
            <w:shd w:val="clear" w:color="auto" w:fill="auto"/>
            <w:tcMar>
              <w:top w:w="0" w:type="dxa"/>
              <w:bottom w:w="0" w:type="dxa"/>
            </w:tcMar>
            <w:vAlign w:val="center"/>
          </w:tcPr>
          <w:p w14:paraId="69A958C1"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10</w:t>
            </w:r>
          </w:p>
        </w:tc>
        <w:tc>
          <w:tcPr>
            <w:tcW w:w="2421" w:type="pct"/>
            <w:tcBorders>
              <w:top w:val="single" w:sz="4" w:space="0" w:color="000000"/>
              <w:left w:val="single" w:sz="4" w:space="0" w:color="000000"/>
            </w:tcBorders>
            <w:shd w:val="clear" w:color="auto" w:fill="auto"/>
            <w:tcMar>
              <w:top w:w="0" w:type="dxa"/>
              <w:bottom w:w="0" w:type="dxa"/>
            </w:tcMar>
            <w:vAlign w:val="center"/>
          </w:tcPr>
          <w:p w14:paraId="20BECCDE"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safety rates</w:t>
            </w:r>
          </w:p>
        </w:tc>
        <w:tc>
          <w:tcPr>
            <w:tcW w:w="885" w:type="pct"/>
            <w:gridSpan w:val="2"/>
            <w:tcBorders>
              <w:top w:val="single" w:sz="4" w:space="0" w:color="000000"/>
              <w:left w:val="single" w:sz="4" w:space="0" w:color="000000"/>
            </w:tcBorders>
            <w:shd w:val="clear" w:color="auto" w:fill="auto"/>
            <w:tcMar>
              <w:top w:w="0" w:type="dxa"/>
              <w:bottom w:w="0" w:type="dxa"/>
            </w:tcMar>
            <w:vAlign w:val="center"/>
          </w:tcPr>
          <w:p w14:paraId="52C61193"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Comply with State Bank regulations</w:t>
            </w:r>
          </w:p>
        </w:tc>
        <w:tc>
          <w:tcPr>
            <w:tcW w:w="1324" w:type="pct"/>
            <w:gridSpan w:val="4"/>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9D25B2"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Ensure compliance with State Bank regulations</w:t>
            </w:r>
          </w:p>
        </w:tc>
      </w:tr>
      <w:tr w:rsidR="005223E8" w:rsidRPr="00E61EF8" w14:paraId="4061E76C" w14:textId="77777777" w:rsidTr="00E61EF8">
        <w:trPr>
          <w:gridAfter w:val="1"/>
          <w:wAfter w:w="27" w:type="pct"/>
        </w:trPr>
        <w:tc>
          <w:tcPr>
            <w:tcW w:w="343" w:type="pct"/>
            <w:tcBorders>
              <w:top w:val="single" w:sz="4" w:space="0" w:color="000000"/>
              <w:left w:val="single" w:sz="4" w:space="0" w:color="000000"/>
            </w:tcBorders>
            <w:shd w:val="clear" w:color="auto" w:fill="auto"/>
            <w:tcMar>
              <w:top w:w="0" w:type="dxa"/>
              <w:bottom w:w="0" w:type="dxa"/>
            </w:tcMar>
            <w:vAlign w:val="center"/>
          </w:tcPr>
          <w:p w14:paraId="5A01F954"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11</w:t>
            </w:r>
          </w:p>
        </w:tc>
        <w:tc>
          <w:tcPr>
            <w:tcW w:w="2421" w:type="pct"/>
            <w:tcBorders>
              <w:top w:val="single" w:sz="4" w:space="0" w:color="000000"/>
              <w:left w:val="single" w:sz="4" w:space="0" w:color="000000"/>
            </w:tcBorders>
            <w:shd w:val="clear" w:color="auto" w:fill="auto"/>
            <w:tcMar>
              <w:top w:w="0" w:type="dxa"/>
              <w:bottom w:w="0" w:type="dxa"/>
            </w:tcMar>
            <w:vAlign w:val="center"/>
          </w:tcPr>
          <w:p w14:paraId="18C70248"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 over Return on Average Equity (ROAE)</w:t>
            </w:r>
          </w:p>
        </w:tc>
        <w:tc>
          <w:tcPr>
            <w:tcW w:w="885" w:type="pct"/>
            <w:gridSpan w:val="2"/>
            <w:tcBorders>
              <w:top w:val="single" w:sz="4" w:space="0" w:color="000000"/>
              <w:left w:val="single" w:sz="4" w:space="0" w:color="000000"/>
            </w:tcBorders>
            <w:shd w:val="clear" w:color="auto" w:fill="auto"/>
            <w:tcMar>
              <w:top w:w="0" w:type="dxa"/>
              <w:bottom w:w="0" w:type="dxa"/>
            </w:tcMar>
            <w:vAlign w:val="center"/>
          </w:tcPr>
          <w:p w14:paraId="25AF33D0"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9.83%</w:t>
            </w:r>
          </w:p>
        </w:tc>
        <w:tc>
          <w:tcPr>
            <w:tcW w:w="684" w:type="pct"/>
            <w:gridSpan w:val="2"/>
            <w:tcBorders>
              <w:top w:val="single" w:sz="4" w:space="0" w:color="000000"/>
              <w:left w:val="single" w:sz="4" w:space="0" w:color="000000"/>
            </w:tcBorders>
            <w:shd w:val="clear" w:color="auto" w:fill="auto"/>
            <w:tcMar>
              <w:top w:w="0" w:type="dxa"/>
              <w:bottom w:w="0" w:type="dxa"/>
            </w:tcMar>
            <w:vAlign w:val="center"/>
          </w:tcPr>
          <w:p w14:paraId="4D637A1E"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10.70%</w:t>
            </w:r>
          </w:p>
        </w:tc>
        <w:tc>
          <w:tcPr>
            <w:tcW w:w="640"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7C50BCA4"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9%</w:t>
            </w:r>
          </w:p>
        </w:tc>
      </w:tr>
      <w:tr w:rsidR="005223E8" w:rsidRPr="00E61EF8" w14:paraId="5F0D9F54" w14:textId="77777777" w:rsidTr="00E61EF8">
        <w:trPr>
          <w:gridAfter w:val="1"/>
          <w:wAfter w:w="27" w:type="pct"/>
        </w:trPr>
        <w:tc>
          <w:tcPr>
            <w:tcW w:w="34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6F80037"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12</w:t>
            </w:r>
          </w:p>
        </w:tc>
        <w:tc>
          <w:tcPr>
            <w:tcW w:w="242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32CF99F"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 over return on assets (ROA)</w:t>
            </w:r>
          </w:p>
        </w:tc>
        <w:tc>
          <w:tcPr>
            <w:tcW w:w="885"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F71391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0.52%</w:t>
            </w:r>
          </w:p>
        </w:tc>
        <w:tc>
          <w:tcPr>
            <w:tcW w:w="684"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5A798E5"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0.60%</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9A160DC" w14:textId="77777777" w:rsidR="00325D5B" w:rsidRPr="00E61EF8" w:rsidRDefault="005223E8" w:rsidP="00E61EF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16%</w:t>
            </w:r>
          </w:p>
        </w:tc>
      </w:tr>
    </w:tbl>
    <w:p w14:paraId="28A63754" w14:textId="77777777" w:rsidR="00325D5B" w:rsidRPr="00E61EF8" w:rsidRDefault="005223E8" w:rsidP="00E61EF8">
      <w:pPr>
        <w:numPr>
          <w:ilvl w:val="0"/>
          <w:numId w:val="3"/>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Approve the new charter capital level based on the successful implementation results of the Plan.</w:t>
      </w:r>
    </w:p>
    <w:p w14:paraId="0BA554E1" w14:textId="77777777" w:rsidR="00325D5B" w:rsidRPr="00E61EF8" w:rsidRDefault="005223E8" w:rsidP="00E61EF8">
      <w:pPr>
        <w:numPr>
          <w:ilvl w:val="0"/>
          <w:numId w:val="3"/>
        </w:numPr>
        <w:pBdr>
          <w:top w:val="nil"/>
          <w:left w:val="nil"/>
          <w:bottom w:val="nil"/>
          <w:right w:val="nil"/>
          <w:between w:val="nil"/>
        </w:pBdr>
        <w:tabs>
          <w:tab w:val="left" w:pos="659"/>
        </w:tabs>
        <w:spacing w:after="120" w:line="360" w:lineRule="auto"/>
        <w:rPr>
          <w:rFonts w:ascii="Arial" w:eastAsia="Arial" w:hAnsi="Arial" w:cs="Arial"/>
          <w:sz w:val="20"/>
          <w:szCs w:val="20"/>
        </w:rPr>
      </w:pPr>
      <w:r>
        <w:rPr>
          <w:rFonts w:ascii="Arial" w:hAnsi="Arial"/>
          <w:sz w:val="20"/>
        </w:rPr>
        <w:t>Assign/authorize the Board of Directors to decide, including but not limited to:</w:t>
      </w:r>
      <w:r>
        <w:rPr>
          <w:rFonts w:ascii="Arial" w:hAnsi="Arial"/>
          <w:sz w:val="20"/>
        </w:rPr>
        <w:cr/>
      </w:r>
      <w:r>
        <w:rPr>
          <w:rFonts w:ascii="Arial" w:hAnsi="Arial"/>
          <w:sz w:val="20"/>
        </w:rPr>
        <w:lastRenderedPageBreak/>
        <w:br/>
      </w:r>
    </w:p>
    <w:p w14:paraId="60B5FA87" w14:textId="77777777" w:rsidR="00325D5B" w:rsidRPr="00E61EF8" w:rsidRDefault="005223E8" w:rsidP="00E61EF8">
      <w:pPr>
        <w:numPr>
          <w:ilvl w:val="0"/>
          <w:numId w:val="5"/>
        </w:numPr>
        <w:pBdr>
          <w:top w:val="nil"/>
          <w:left w:val="nil"/>
          <w:bottom w:val="nil"/>
          <w:right w:val="nil"/>
          <w:between w:val="nil"/>
        </w:pBdr>
        <w:tabs>
          <w:tab w:val="left" w:pos="659"/>
        </w:tabs>
        <w:spacing w:after="120" w:line="360" w:lineRule="auto"/>
        <w:rPr>
          <w:rFonts w:ascii="Arial" w:eastAsia="Arial" w:hAnsi="Arial" w:cs="Arial"/>
          <w:sz w:val="20"/>
          <w:szCs w:val="20"/>
        </w:rPr>
      </w:pPr>
      <w:r>
        <w:rPr>
          <w:rFonts w:ascii="Arial" w:hAnsi="Arial"/>
          <w:sz w:val="20"/>
        </w:rPr>
        <w:t>Regarding the Plan to increase charter capital through the issuance of shares to existing shareholders according to General Mandate No. 01/2023/NQ-DHDCD:</w:t>
      </w:r>
    </w:p>
    <w:p w14:paraId="4058EF20"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Assign the Board of Directors to decide on related issues, work with the State Bank and other relevant agencies to carry out the next steps to complete the procedures for implementing the capital increase in accordance with regulations.</w:t>
      </w:r>
    </w:p>
    <w:p w14:paraId="2EDA6F8D" w14:textId="77777777" w:rsidR="00325D5B" w:rsidRPr="00E61EF8" w:rsidRDefault="005223E8" w:rsidP="00E61EF8">
      <w:pPr>
        <w:numPr>
          <w:ilvl w:val="0"/>
          <w:numId w:val="5"/>
        </w:numPr>
        <w:pBdr>
          <w:top w:val="nil"/>
          <w:left w:val="nil"/>
          <w:bottom w:val="nil"/>
          <w:right w:val="nil"/>
          <w:between w:val="nil"/>
        </w:pBdr>
        <w:tabs>
          <w:tab w:val="left" w:pos="662"/>
        </w:tabs>
        <w:spacing w:after="120" w:line="360" w:lineRule="auto"/>
        <w:rPr>
          <w:rFonts w:ascii="Arial" w:eastAsia="Arial" w:hAnsi="Arial" w:cs="Arial"/>
          <w:sz w:val="20"/>
          <w:szCs w:val="20"/>
        </w:rPr>
      </w:pPr>
      <w:r>
        <w:rPr>
          <w:rFonts w:ascii="Arial" w:hAnsi="Arial"/>
          <w:sz w:val="20"/>
        </w:rPr>
        <w:t>Regarding the Plan to increase charter capital through the issuance of shares for dividend payment:</w:t>
      </w:r>
    </w:p>
    <w:p w14:paraId="0CF62E4C"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Necessary legal issues and procedures, including amending and supplementing the Plan when submitting for consideration and approval by the competent State management agency, based on the principles consistent with the actual operating conditions of Vietbank; comply with the provisions of the law; and ensure the interests of shareholders;</w:t>
      </w:r>
    </w:p>
    <w:p w14:paraId="5B5AC451" w14:textId="77777777" w:rsidR="00325D5B" w:rsidRPr="00E61EF8" w:rsidRDefault="005223E8" w:rsidP="00E61EF8">
      <w:pPr>
        <w:numPr>
          <w:ilvl w:val="0"/>
          <w:numId w:val="1"/>
        </w:numPr>
        <w:pBdr>
          <w:top w:val="nil"/>
          <w:left w:val="nil"/>
          <w:bottom w:val="nil"/>
          <w:right w:val="nil"/>
          <w:between w:val="nil"/>
        </w:pBdr>
        <w:tabs>
          <w:tab w:val="left" w:pos="659"/>
        </w:tabs>
        <w:spacing w:after="120" w:line="360" w:lineRule="auto"/>
        <w:rPr>
          <w:rFonts w:ascii="Arial" w:eastAsia="Arial" w:hAnsi="Arial" w:cs="Arial"/>
          <w:sz w:val="20"/>
          <w:szCs w:val="20"/>
        </w:rPr>
      </w:pPr>
      <w:r>
        <w:rPr>
          <w:rFonts w:ascii="Arial" w:hAnsi="Arial"/>
          <w:sz w:val="20"/>
        </w:rPr>
        <w:t>Issuance time, including the time to suspend the share issuance in accordance with the reality and guidance of the competent State management agency;</w:t>
      </w:r>
    </w:p>
    <w:p w14:paraId="442A45CC" w14:textId="77777777" w:rsidR="00325D5B" w:rsidRPr="00E61EF8" w:rsidRDefault="005223E8" w:rsidP="00E61EF8">
      <w:pPr>
        <w:numPr>
          <w:ilvl w:val="0"/>
          <w:numId w:val="1"/>
        </w:numPr>
        <w:pBdr>
          <w:top w:val="nil"/>
          <w:left w:val="nil"/>
          <w:bottom w:val="nil"/>
          <w:right w:val="nil"/>
          <w:between w:val="nil"/>
        </w:pBdr>
        <w:tabs>
          <w:tab w:val="left" w:pos="659"/>
        </w:tabs>
        <w:spacing w:after="120" w:line="360" w:lineRule="auto"/>
        <w:rPr>
          <w:rFonts w:ascii="Arial" w:eastAsia="Arial" w:hAnsi="Arial" w:cs="Arial"/>
          <w:sz w:val="20"/>
          <w:szCs w:val="20"/>
        </w:rPr>
      </w:pPr>
      <w:r>
        <w:rPr>
          <w:rFonts w:ascii="Arial" w:hAnsi="Arial"/>
          <w:sz w:val="20"/>
        </w:rPr>
        <w:t>Handle fractional shares;</w:t>
      </w:r>
    </w:p>
    <w:p w14:paraId="24C46BF1"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Amend and supplement the plan to use the raised capital, to ensure compliance with the law, in line with the actual business situation and bring efficiency to Vietbank;</w:t>
      </w:r>
    </w:p>
    <w:p w14:paraId="1E6DC54F"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Amend and supplement the registration dossier for depository and trading of additional securities according to the guidance of the competent State management agency;</w:t>
      </w:r>
    </w:p>
    <w:p w14:paraId="7437297C" w14:textId="77777777" w:rsidR="00325D5B" w:rsidRPr="00E61EF8" w:rsidRDefault="005223E8" w:rsidP="00E61EF8">
      <w:pPr>
        <w:numPr>
          <w:ilvl w:val="0"/>
          <w:numId w:val="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Carry out legal procedures on amending and supplementing the Operating License, Enterprise Registration Certificate, Charter and other relevant legal documents to update Vietbank's new charter capital level.</w:t>
      </w:r>
    </w:p>
    <w:p w14:paraId="033F6653" w14:textId="77777777" w:rsidR="00325D5B" w:rsidRPr="00E61EF8" w:rsidRDefault="005223E8" w:rsidP="00E61EF8">
      <w:pPr>
        <w:numPr>
          <w:ilvl w:val="0"/>
          <w:numId w:val="3"/>
        </w:numPr>
        <w:pBdr>
          <w:top w:val="nil"/>
          <w:left w:val="nil"/>
          <w:bottom w:val="nil"/>
          <w:right w:val="nil"/>
          <w:between w:val="nil"/>
        </w:pBdr>
        <w:tabs>
          <w:tab w:val="left" w:pos="659"/>
        </w:tabs>
        <w:spacing w:after="120" w:line="360" w:lineRule="auto"/>
        <w:rPr>
          <w:rFonts w:ascii="Arial" w:eastAsia="Arial" w:hAnsi="Arial" w:cs="Arial"/>
          <w:sz w:val="20"/>
          <w:szCs w:val="20"/>
        </w:rPr>
      </w:pPr>
      <w:r>
        <w:rPr>
          <w:rFonts w:ascii="Arial" w:hAnsi="Arial"/>
          <w:sz w:val="20"/>
        </w:rPr>
        <w:t>During the implementation of the above core tasks, the Board of Directors has the right to decide on the contents within the scope of the assigned tasks; Implement and/or direct and assign Vietbank's units to perform necessary tasks in accordance with the law; Complete and finalize and sign relevant documents and papers; Work with competent State management agencies and related Parties; Perform all other necessary tasks and procedures to implement the assigned tasks, in accordance with the law.</w:t>
      </w:r>
    </w:p>
    <w:p w14:paraId="32451D66" w14:textId="77777777" w:rsidR="00325D5B" w:rsidRPr="00E61EF8" w:rsidRDefault="005223E8" w:rsidP="00E61EF8">
      <w:pPr>
        <w:numPr>
          <w:ilvl w:val="0"/>
          <w:numId w:val="11"/>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Approve the Report on the progress and results of public bond issuance in 2021 - General Mandate No. 02/2021/NQ-DGDCD dated April 26, 2021 and related General Mandates, accordingly, the General Meeting of Shareholders agrees to assign the Board of Directors to continue to preside over and direct the completion of related procedures for depository and listing of bonds.</w:t>
      </w:r>
    </w:p>
    <w:p w14:paraId="2085A215"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Result:</w:t>
      </w:r>
    </w:p>
    <w:p w14:paraId="41A7C9CF"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According to the plan for public bond issuance approved by the General Meeting of Shareholders and the Board of Directors (as authorized by the General Meeting of Shareholders) in the resolutions in </w:t>
      </w:r>
      <w:r>
        <w:rPr>
          <w:rFonts w:ascii="Arial" w:hAnsi="Arial"/>
          <w:sz w:val="20"/>
        </w:rPr>
        <w:lastRenderedPageBreak/>
        <w:t>2021-2023, the total volume of bonds offered for sale according to the plan is VND 3,000 billion, of which:</w:t>
      </w:r>
    </w:p>
    <w:p w14:paraId="5CF5DD4B" w14:textId="77777777" w:rsidR="00325D5B" w:rsidRPr="00E61EF8" w:rsidRDefault="005223E8" w:rsidP="00E61EF8">
      <w:pPr>
        <w:numPr>
          <w:ilvl w:val="0"/>
          <w:numId w:val="1"/>
        </w:numPr>
        <w:pBdr>
          <w:top w:val="nil"/>
          <w:left w:val="nil"/>
          <w:bottom w:val="nil"/>
          <w:right w:val="nil"/>
          <w:between w:val="nil"/>
        </w:pBdr>
        <w:tabs>
          <w:tab w:val="left" w:pos="1108"/>
        </w:tabs>
        <w:spacing w:after="120" w:line="360" w:lineRule="auto"/>
        <w:rPr>
          <w:rFonts w:ascii="Arial" w:eastAsia="Arial" w:hAnsi="Arial" w:cs="Arial"/>
          <w:sz w:val="20"/>
          <w:szCs w:val="20"/>
        </w:rPr>
      </w:pPr>
      <w:r>
        <w:rPr>
          <w:rFonts w:ascii="Arial" w:hAnsi="Arial"/>
          <w:sz w:val="20"/>
        </w:rPr>
        <w:t>Round 01: total offering volume of VND 1,000 billion, of which successfully issued: VND 100 billion;</w:t>
      </w:r>
    </w:p>
    <w:p w14:paraId="5F3770F1" w14:textId="77777777" w:rsidR="00325D5B" w:rsidRPr="00E61EF8" w:rsidRDefault="005223E8" w:rsidP="00E61EF8">
      <w:pPr>
        <w:numPr>
          <w:ilvl w:val="0"/>
          <w:numId w:val="1"/>
        </w:numPr>
        <w:pBdr>
          <w:top w:val="nil"/>
          <w:left w:val="nil"/>
          <w:bottom w:val="nil"/>
          <w:right w:val="nil"/>
          <w:between w:val="nil"/>
        </w:pBdr>
        <w:tabs>
          <w:tab w:val="left" w:pos="1108"/>
        </w:tabs>
        <w:spacing w:after="120" w:line="360" w:lineRule="auto"/>
        <w:rPr>
          <w:rFonts w:ascii="Arial" w:eastAsia="Arial" w:hAnsi="Arial" w:cs="Arial"/>
          <w:sz w:val="20"/>
          <w:szCs w:val="20"/>
        </w:rPr>
      </w:pPr>
      <w:r>
        <w:rPr>
          <w:rFonts w:ascii="Arial" w:hAnsi="Arial"/>
          <w:sz w:val="20"/>
        </w:rPr>
        <w:t>Round 02: total offering volume of VND 1,900 billion (including VND 1,000 billion from batch 2 and VND 900 billion not successfully issued from Round 1); successfully issued: VND 1,900 billion;</w:t>
      </w:r>
    </w:p>
    <w:p w14:paraId="6CF4C090" w14:textId="77777777" w:rsidR="00325D5B" w:rsidRPr="00E61EF8" w:rsidRDefault="005223E8" w:rsidP="00E61EF8">
      <w:pPr>
        <w:numPr>
          <w:ilvl w:val="0"/>
          <w:numId w:val="1"/>
        </w:numPr>
        <w:pBdr>
          <w:top w:val="nil"/>
          <w:left w:val="nil"/>
          <w:bottom w:val="nil"/>
          <w:right w:val="nil"/>
          <w:between w:val="nil"/>
        </w:pBdr>
        <w:tabs>
          <w:tab w:val="left" w:pos="1108"/>
        </w:tabs>
        <w:spacing w:after="120" w:line="360" w:lineRule="auto"/>
        <w:rPr>
          <w:rFonts w:ascii="Arial" w:eastAsia="Arial" w:hAnsi="Arial" w:cs="Arial"/>
          <w:sz w:val="20"/>
          <w:szCs w:val="20"/>
        </w:rPr>
      </w:pPr>
      <w:r>
        <w:rPr>
          <w:rFonts w:ascii="Arial" w:hAnsi="Arial"/>
          <w:sz w:val="20"/>
        </w:rPr>
        <w:t>Round 03: total offering volume of VND 1,000 billion: successfully issued: VND 1,000 billion;</w:t>
      </w:r>
    </w:p>
    <w:p w14:paraId="048C4D8D"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The offering results of Vietbank's public bond issuances are as follows.</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2"/>
        <w:gridCol w:w="1064"/>
        <w:gridCol w:w="1172"/>
        <w:gridCol w:w="1461"/>
        <w:gridCol w:w="1091"/>
        <w:gridCol w:w="1470"/>
        <w:gridCol w:w="1466"/>
      </w:tblGrid>
      <w:tr w:rsidR="00325D5B" w:rsidRPr="00E61EF8" w14:paraId="572A83A5" w14:textId="77777777" w:rsidTr="00E61EF8">
        <w:tc>
          <w:tcPr>
            <w:tcW w:w="717" w:type="pct"/>
            <w:vMerge w:val="restart"/>
            <w:shd w:val="clear" w:color="auto" w:fill="auto"/>
            <w:tcMar>
              <w:top w:w="0" w:type="dxa"/>
              <w:bottom w:w="0" w:type="dxa"/>
            </w:tcMar>
            <w:vAlign w:val="center"/>
          </w:tcPr>
          <w:p w14:paraId="1587C9CE"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Bonds</w:t>
            </w:r>
          </w:p>
        </w:tc>
        <w:tc>
          <w:tcPr>
            <w:tcW w:w="1240" w:type="pct"/>
            <w:gridSpan w:val="2"/>
            <w:shd w:val="clear" w:color="auto" w:fill="auto"/>
            <w:tcMar>
              <w:top w:w="0" w:type="dxa"/>
              <w:bottom w:w="0" w:type="dxa"/>
            </w:tcMar>
            <w:vAlign w:val="center"/>
          </w:tcPr>
          <w:p w14:paraId="1555A46D"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Date</w:t>
            </w:r>
          </w:p>
        </w:tc>
        <w:tc>
          <w:tcPr>
            <w:tcW w:w="810" w:type="pct"/>
            <w:vMerge w:val="restart"/>
            <w:shd w:val="clear" w:color="auto" w:fill="auto"/>
            <w:tcMar>
              <w:top w:w="0" w:type="dxa"/>
              <w:bottom w:w="0" w:type="dxa"/>
            </w:tcMar>
            <w:vAlign w:val="center"/>
          </w:tcPr>
          <w:p w14:paraId="1191B31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Issuance Volume (VND Billion)</w:t>
            </w:r>
          </w:p>
        </w:tc>
        <w:tc>
          <w:tcPr>
            <w:tcW w:w="2233" w:type="pct"/>
            <w:gridSpan w:val="3"/>
            <w:shd w:val="clear" w:color="auto" w:fill="auto"/>
            <w:tcMar>
              <w:top w:w="0" w:type="dxa"/>
              <w:bottom w:w="0" w:type="dxa"/>
            </w:tcMar>
            <w:vAlign w:val="center"/>
          </w:tcPr>
          <w:p w14:paraId="1D90CD8E"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Bond Status</w:t>
            </w:r>
          </w:p>
        </w:tc>
      </w:tr>
      <w:tr w:rsidR="00325D5B" w:rsidRPr="00E61EF8" w14:paraId="26B60F71" w14:textId="77777777" w:rsidTr="00E61EF8">
        <w:tc>
          <w:tcPr>
            <w:tcW w:w="717" w:type="pct"/>
            <w:vMerge/>
            <w:shd w:val="clear" w:color="auto" w:fill="auto"/>
            <w:tcMar>
              <w:top w:w="0" w:type="dxa"/>
              <w:bottom w:w="0" w:type="dxa"/>
            </w:tcMar>
            <w:vAlign w:val="center"/>
          </w:tcPr>
          <w:p w14:paraId="15094096"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590" w:type="pct"/>
            <w:shd w:val="clear" w:color="auto" w:fill="auto"/>
            <w:tcMar>
              <w:top w:w="0" w:type="dxa"/>
              <w:bottom w:w="0" w:type="dxa"/>
            </w:tcMar>
            <w:vAlign w:val="center"/>
          </w:tcPr>
          <w:p w14:paraId="1EFF86B2"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Issuance</w:t>
            </w:r>
          </w:p>
        </w:tc>
        <w:tc>
          <w:tcPr>
            <w:tcW w:w="650" w:type="pct"/>
            <w:shd w:val="clear" w:color="auto" w:fill="auto"/>
            <w:tcMar>
              <w:top w:w="0" w:type="dxa"/>
              <w:bottom w:w="0" w:type="dxa"/>
            </w:tcMar>
            <w:vAlign w:val="center"/>
          </w:tcPr>
          <w:p w14:paraId="4BDF2A16"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Maturity</w:t>
            </w:r>
          </w:p>
        </w:tc>
        <w:tc>
          <w:tcPr>
            <w:tcW w:w="810" w:type="pct"/>
            <w:vMerge/>
            <w:shd w:val="clear" w:color="auto" w:fill="auto"/>
            <w:tcMar>
              <w:top w:w="0" w:type="dxa"/>
              <w:bottom w:w="0" w:type="dxa"/>
            </w:tcMar>
            <w:vAlign w:val="center"/>
          </w:tcPr>
          <w:p w14:paraId="4B5E7C83" w14:textId="77777777" w:rsidR="00325D5B" w:rsidRPr="00E61EF8" w:rsidRDefault="00325D5B" w:rsidP="00E61EF8">
            <w:pPr>
              <w:pBdr>
                <w:top w:val="nil"/>
                <w:left w:val="nil"/>
                <w:bottom w:val="nil"/>
                <w:right w:val="nil"/>
                <w:between w:val="nil"/>
              </w:pBdr>
              <w:spacing w:after="120" w:line="360" w:lineRule="auto"/>
              <w:rPr>
                <w:rFonts w:ascii="Arial" w:eastAsia="Arial" w:hAnsi="Arial" w:cs="Arial"/>
                <w:sz w:val="20"/>
                <w:szCs w:val="20"/>
              </w:rPr>
            </w:pPr>
          </w:p>
        </w:tc>
        <w:tc>
          <w:tcPr>
            <w:tcW w:w="605" w:type="pct"/>
            <w:shd w:val="clear" w:color="auto" w:fill="auto"/>
            <w:tcMar>
              <w:top w:w="0" w:type="dxa"/>
              <w:bottom w:w="0" w:type="dxa"/>
            </w:tcMar>
            <w:vAlign w:val="center"/>
          </w:tcPr>
          <w:p w14:paraId="02DB845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Issuance</w:t>
            </w:r>
          </w:p>
        </w:tc>
        <w:tc>
          <w:tcPr>
            <w:tcW w:w="815" w:type="pct"/>
            <w:shd w:val="clear" w:color="auto" w:fill="auto"/>
            <w:tcMar>
              <w:top w:w="0" w:type="dxa"/>
              <w:bottom w:w="0" w:type="dxa"/>
            </w:tcMar>
            <w:vAlign w:val="center"/>
          </w:tcPr>
          <w:p w14:paraId="3A717DF0"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Depository Registration</w:t>
            </w:r>
          </w:p>
        </w:tc>
        <w:tc>
          <w:tcPr>
            <w:tcW w:w="813" w:type="pct"/>
            <w:shd w:val="clear" w:color="auto" w:fill="auto"/>
            <w:tcMar>
              <w:top w:w="0" w:type="dxa"/>
              <w:bottom w:w="0" w:type="dxa"/>
            </w:tcMar>
            <w:vAlign w:val="center"/>
          </w:tcPr>
          <w:p w14:paraId="2EF922BA"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Listing</w:t>
            </w:r>
          </w:p>
        </w:tc>
      </w:tr>
      <w:tr w:rsidR="00325D5B" w:rsidRPr="00E61EF8" w14:paraId="5232FE2C" w14:textId="77777777" w:rsidTr="00E61EF8">
        <w:tc>
          <w:tcPr>
            <w:tcW w:w="717" w:type="pct"/>
            <w:shd w:val="clear" w:color="auto" w:fill="auto"/>
            <w:tcMar>
              <w:top w:w="0" w:type="dxa"/>
              <w:bottom w:w="0" w:type="dxa"/>
            </w:tcMar>
            <w:vAlign w:val="center"/>
          </w:tcPr>
          <w:p w14:paraId="317B1BA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2022 - Round 1</w:t>
            </w:r>
          </w:p>
        </w:tc>
        <w:tc>
          <w:tcPr>
            <w:tcW w:w="590" w:type="pct"/>
            <w:shd w:val="clear" w:color="auto" w:fill="auto"/>
            <w:tcMar>
              <w:top w:w="0" w:type="dxa"/>
              <w:bottom w:w="0" w:type="dxa"/>
            </w:tcMar>
            <w:vAlign w:val="center"/>
          </w:tcPr>
          <w:p w14:paraId="5AE1631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September 16, 2022</w:t>
            </w:r>
          </w:p>
        </w:tc>
        <w:tc>
          <w:tcPr>
            <w:tcW w:w="650" w:type="pct"/>
            <w:shd w:val="clear" w:color="auto" w:fill="auto"/>
            <w:tcMar>
              <w:top w:w="0" w:type="dxa"/>
              <w:bottom w:w="0" w:type="dxa"/>
            </w:tcMar>
            <w:vAlign w:val="center"/>
          </w:tcPr>
          <w:p w14:paraId="13A409E8"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September 16, 2029</w:t>
            </w:r>
          </w:p>
        </w:tc>
        <w:tc>
          <w:tcPr>
            <w:tcW w:w="810" w:type="pct"/>
            <w:shd w:val="clear" w:color="auto" w:fill="auto"/>
            <w:tcMar>
              <w:top w:w="0" w:type="dxa"/>
              <w:bottom w:w="0" w:type="dxa"/>
            </w:tcMar>
            <w:vAlign w:val="center"/>
          </w:tcPr>
          <w:p w14:paraId="171CCFDE"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100</w:t>
            </w:r>
          </w:p>
        </w:tc>
        <w:tc>
          <w:tcPr>
            <w:tcW w:w="605" w:type="pct"/>
            <w:shd w:val="clear" w:color="auto" w:fill="auto"/>
            <w:tcMar>
              <w:top w:w="0" w:type="dxa"/>
              <w:bottom w:w="0" w:type="dxa"/>
            </w:tcMar>
            <w:vAlign w:val="center"/>
          </w:tcPr>
          <w:p w14:paraId="475F2F2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Complete</w:t>
            </w:r>
          </w:p>
        </w:tc>
        <w:tc>
          <w:tcPr>
            <w:tcW w:w="815" w:type="pct"/>
            <w:shd w:val="clear" w:color="auto" w:fill="auto"/>
            <w:tcMar>
              <w:top w:w="0" w:type="dxa"/>
              <w:bottom w:w="0" w:type="dxa"/>
            </w:tcMar>
            <w:vAlign w:val="center"/>
          </w:tcPr>
          <w:p w14:paraId="29A1755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Complete</w:t>
            </w:r>
          </w:p>
        </w:tc>
        <w:tc>
          <w:tcPr>
            <w:tcW w:w="813" w:type="pct"/>
            <w:shd w:val="clear" w:color="auto" w:fill="auto"/>
            <w:tcMar>
              <w:top w:w="0" w:type="dxa"/>
              <w:bottom w:w="0" w:type="dxa"/>
            </w:tcMar>
            <w:vAlign w:val="center"/>
          </w:tcPr>
          <w:p w14:paraId="321E5F1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Complete</w:t>
            </w:r>
          </w:p>
        </w:tc>
      </w:tr>
      <w:tr w:rsidR="00325D5B" w:rsidRPr="00E61EF8" w14:paraId="40BA162F" w14:textId="77777777" w:rsidTr="00E61EF8">
        <w:tc>
          <w:tcPr>
            <w:tcW w:w="717" w:type="pct"/>
            <w:shd w:val="clear" w:color="auto" w:fill="auto"/>
            <w:tcMar>
              <w:top w:w="0" w:type="dxa"/>
              <w:bottom w:w="0" w:type="dxa"/>
            </w:tcMar>
            <w:vAlign w:val="center"/>
          </w:tcPr>
          <w:p w14:paraId="094DD1C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2022 - Round 2</w:t>
            </w:r>
          </w:p>
        </w:tc>
        <w:tc>
          <w:tcPr>
            <w:tcW w:w="590" w:type="pct"/>
            <w:shd w:val="clear" w:color="auto" w:fill="auto"/>
            <w:tcMar>
              <w:top w:w="0" w:type="dxa"/>
              <w:bottom w:w="0" w:type="dxa"/>
            </w:tcMar>
            <w:vAlign w:val="center"/>
          </w:tcPr>
          <w:p w14:paraId="09747E95"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June 30, 2023</w:t>
            </w:r>
          </w:p>
        </w:tc>
        <w:tc>
          <w:tcPr>
            <w:tcW w:w="650" w:type="pct"/>
            <w:shd w:val="clear" w:color="auto" w:fill="auto"/>
            <w:tcMar>
              <w:top w:w="0" w:type="dxa"/>
              <w:bottom w:w="0" w:type="dxa"/>
            </w:tcMar>
            <w:vAlign w:val="center"/>
          </w:tcPr>
          <w:p w14:paraId="5528C6B6"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June 30, 2030</w:t>
            </w:r>
          </w:p>
        </w:tc>
        <w:tc>
          <w:tcPr>
            <w:tcW w:w="810" w:type="pct"/>
            <w:shd w:val="clear" w:color="auto" w:fill="auto"/>
            <w:tcMar>
              <w:top w:w="0" w:type="dxa"/>
              <w:bottom w:w="0" w:type="dxa"/>
            </w:tcMar>
            <w:vAlign w:val="center"/>
          </w:tcPr>
          <w:p w14:paraId="185C10E2"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1,900</w:t>
            </w:r>
          </w:p>
        </w:tc>
        <w:tc>
          <w:tcPr>
            <w:tcW w:w="605" w:type="pct"/>
            <w:shd w:val="clear" w:color="auto" w:fill="auto"/>
            <w:tcMar>
              <w:top w:w="0" w:type="dxa"/>
              <w:bottom w:w="0" w:type="dxa"/>
            </w:tcMar>
            <w:vAlign w:val="center"/>
          </w:tcPr>
          <w:p w14:paraId="1F005CA2"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Complete</w:t>
            </w:r>
          </w:p>
        </w:tc>
        <w:tc>
          <w:tcPr>
            <w:tcW w:w="815" w:type="pct"/>
            <w:shd w:val="clear" w:color="auto" w:fill="auto"/>
            <w:tcMar>
              <w:top w:w="0" w:type="dxa"/>
              <w:bottom w:w="0" w:type="dxa"/>
            </w:tcMar>
            <w:vAlign w:val="center"/>
          </w:tcPr>
          <w:p w14:paraId="6BEE84F8"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Complete</w:t>
            </w:r>
          </w:p>
        </w:tc>
        <w:tc>
          <w:tcPr>
            <w:tcW w:w="813" w:type="pct"/>
            <w:shd w:val="clear" w:color="auto" w:fill="auto"/>
            <w:tcMar>
              <w:top w:w="0" w:type="dxa"/>
              <w:bottom w:w="0" w:type="dxa"/>
            </w:tcMar>
            <w:vAlign w:val="center"/>
          </w:tcPr>
          <w:p w14:paraId="3870214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 progress</w:t>
            </w:r>
          </w:p>
        </w:tc>
      </w:tr>
      <w:tr w:rsidR="00325D5B" w:rsidRPr="00E61EF8" w14:paraId="1F765B05" w14:textId="77777777" w:rsidTr="00E61EF8">
        <w:tc>
          <w:tcPr>
            <w:tcW w:w="1957" w:type="pct"/>
            <w:gridSpan w:val="3"/>
            <w:shd w:val="clear" w:color="auto" w:fill="auto"/>
            <w:tcMar>
              <w:top w:w="0" w:type="dxa"/>
              <w:bottom w:w="0" w:type="dxa"/>
            </w:tcMar>
            <w:vAlign w:val="center"/>
          </w:tcPr>
          <w:p w14:paraId="3DF1DE0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December 31, 2023</w:t>
            </w:r>
          </w:p>
        </w:tc>
        <w:tc>
          <w:tcPr>
            <w:tcW w:w="810" w:type="pct"/>
            <w:shd w:val="clear" w:color="auto" w:fill="auto"/>
            <w:tcMar>
              <w:top w:w="0" w:type="dxa"/>
              <w:bottom w:w="0" w:type="dxa"/>
            </w:tcMar>
            <w:vAlign w:val="center"/>
          </w:tcPr>
          <w:p w14:paraId="02E02517"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1,900</w:t>
            </w:r>
          </w:p>
        </w:tc>
        <w:tc>
          <w:tcPr>
            <w:tcW w:w="605" w:type="pct"/>
            <w:shd w:val="clear" w:color="auto" w:fill="auto"/>
            <w:tcMar>
              <w:top w:w="0" w:type="dxa"/>
              <w:bottom w:w="0" w:type="dxa"/>
            </w:tcMar>
            <w:vAlign w:val="center"/>
          </w:tcPr>
          <w:p w14:paraId="6BFB95B4" w14:textId="77777777" w:rsidR="00325D5B" w:rsidRPr="00E61EF8" w:rsidRDefault="00325D5B" w:rsidP="00E61EF8">
            <w:pPr>
              <w:spacing w:after="120" w:line="360" w:lineRule="auto"/>
              <w:jc w:val="center"/>
              <w:rPr>
                <w:rFonts w:ascii="Arial" w:eastAsia="Arial" w:hAnsi="Arial" w:cs="Arial"/>
                <w:sz w:val="20"/>
                <w:szCs w:val="20"/>
              </w:rPr>
            </w:pPr>
          </w:p>
        </w:tc>
        <w:tc>
          <w:tcPr>
            <w:tcW w:w="815" w:type="pct"/>
            <w:shd w:val="clear" w:color="auto" w:fill="auto"/>
            <w:tcMar>
              <w:top w:w="0" w:type="dxa"/>
              <w:bottom w:w="0" w:type="dxa"/>
            </w:tcMar>
            <w:vAlign w:val="center"/>
          </w:tcPr>
          <w:p w14:paraId="2DAB1CFF" w14:textId="77777777" w:rsidR="00325D5B" w:rsidRPr="00E61EF8" w:rsidRDefault="00325D5B" w:rsidP="00E61EF8">
            <w:pPr>
              <w:spacing w:after="120" w:line="360" w:lineRule="auto"/>
              <w:jc w:val="center"/>
              <w:rPr>
                <w:rFonts w:ascii="Arial" w:eastAsia="Arial" w:hAnsi="Arial" w:cs="Arial"/>
                <w:sz w:val="20"/>
                <w:szCs w:val="20"/>
              </w:rPr>
            </w:pPr>
          </w:p>
        </w:tc>
        <w:tc>
          <w:tcPr>
            <w:tcW w:w="813" w:type="pct"/>
            <w:shd w:val="clear" w:color="auto" w:fill="auto"/>
            <w:tcMar>
              <w:top w:w="0" w:type="dxa"/>
              <w:bottom w:w="0" w:type="dxa"/>
            </w:tcMar>
            <w:vAlign w:val="center"/>
          </w:tcPr>
          <w:p w14:paraId="18841DC2" w14:textId="77777777" w:rsidR="00325D5B" w:rsidRPr="00E61EF8" w:rsidRDefault="00325D5B" w:rsidP="00E61EF8">
            <w:pPr>
              <w:spacing w:after="120" w:line="360" w:lineRule="auto"/>
              <w:jc w:val="center"/>
              <w:rPr>
                <w:rFonts w:ascii="Arial" w:eastAsia="Arial" w:hAnsi="Arial" w:cs="Arial"/>
                <w:sz w:val="20"/>
                <w:szCs w:val="20"/>
              </w:rPr>
            </w:pPr>
          </w:p>
        </w:tc>
      </w:tr>
      <w:tr w:rsidR="00325D5B" w:rsidRPr="00E61EF8" w14:paraId="5B50D154" w14:textId="77777777" w:rsidTr="00E61EF8">
        <w:tc>
          <w:tcPr>
            <w:tcW w:w="717" w:type="pct"/>
            <w:shd w:val="clear" w:color="auto" w:fill="auto"/>
            <w:tcMar>
              <w:top w:w="0" w:type="dxa"/>
              <w:bottom w:w="0" w:type="dxa"/>
            </w:tcMar>
            <w:vAlign w:val="center"/>
          </w:tcPr>
          <w:p w14:paraId="1A8E837E"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2022 - Round 3</w:t>
            </w:r>
          </w:p>
        </w:tc>
        <w:tc>
          <w:tcPr>
            <w:tcW w:w="590" w:type="pct"/>
            <w:shd w:val="clear" w:color="auto" w:fill="auto"/>
            <w:tcMar>
              <w:top w:w="0" w:type="dxa"/>
              <w:bottom w:w="0" w:type="dxa"/>
            </w:tcMar>
            <w:vAlign w:val="center"/>
          </w:tcPr>
          <w:p w14:paraId="685746D9"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March 27, 2024</w:t>
            </w:r>
          </w:p>
        </w:tc>
        <w:tc>
          <w:tcPr>
            <w:tcW w:w="650" w:type="pct"/>
            <w:shd w:val="clear" w:color="auto" w:fill="auto"/>
            <w:tcMar>
              <w:top w:w="0" w:type="dxa"/>
              <w:bottom w:w="0" w:type="dxa"/>
            </w:tcMar>
            <w:vAlign w:val="center"/>
          </w:tcPr>
          <w:p w14:paraId="7745D702"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March 27, 2031</w:t>
            </w:r>
          </w:p>
        </w:tc>
        <w:tc>
          <w:tcPr>
            <w:tcW w:w="810" w:type="pct"/>
            <w:shd w:val="clear" w:color="auto" w:fill="auto"/>
            <w:tcMar>
              <w:top w:w="0" w:type="dxa"/>
              <w:bottom w:w="0" w:type="dxa"/>
            </w:tcMar>
            <w:vAlign w:val="center"/>
          </w:tcPr>
          <w:p w14:paraId="4D56624F"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1,000</w:t>
            </w:r>
          </w:p>
        </w:tc>
        <w:tc>
          <w:tcPr>
            <w:tcW w:w="605" w:type="pct"/>
            <w:shd w:val="clear" w:color="auto" w:fill="auto"/>
            <w:tcMar>
              <w:top w:w="0" w:type="dxa"/>
              <w:bottom w:w="0" w:type="dxa"/>
            </w:tcMar>
            <w:vAlign w:val="center"/>
          </w:tcPr>
          <w:p w14:paraId="060650D6"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Complete</w:t>
            </w:r>
          </w:p>
        </w:tc>
        <w:tc>
          <w:tcPr>
            <w:tcW w:w="815" w:type="pct"/>
            <w:shd w:val="clear" w:color="auto" w:fill="auto"/>
            <w:tcMar>
              <w:top w:w="0" w:type="dxa"/>
              <w:bottom w:w="0" w:type="dxa"/>
            </w:tcMar>
            <w:vAlign w:val="center"/>
          </w:tcPr>
          <w:p w14:paraId="3B57D6F1"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 progress</w:t>
            </w:r>
          </w:p>
        </w:tc>
        <w:tc>
          <w:tcPr>
            <w:tcW w:w="813" w:type="pct"/>
            <w:shd w:val="clear" w:color="auto" w:fill="auto"/>
            <w:tcMar>
              <w:top w:w="0" w:type="dxa"/>
              <w:bottom w:w="0" w:type="dxa"/>
            </w:tcMar>
            <w:vAlign w:val="center"/>
          </w:tcPr>
          <w:p w14:paraId="33DDB40B"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In progress</w:t>
            </w:r>
          </w:p>
        </w:tc>
      </w:tr>
      <w:tr w:rsidR="00325D5B" w:rsidRPr="00E61EF8" w14:paraId="49999E44" w14:textId="77777777" w:rsidTr="00E61EF8">
        <w:tc>
          <w:tcPr>
            <w:tcW w:w="1957" w:type="pct"/>
            <w:gridSpan w:val="3"/>
            <w:shd w:val="clear" w:color="auto" w:fill="auto"/>
            <w:tcMar>
              <w:top w:w="0" w:type="dxa"/>
              <w:bottom w:w="0" w:type="dxa"/>
            </w:tcMar>
            <w:vAlign w:val="center"/>
          </w:tcPr>
          <w:p w14:paraId="467B5A5C"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Total March 31, 2024</w:t>
            </w:r>
          </w:p>
        </w:tc>
        <w:tc>
          <w:tcPr>
            <w:tcW w:w="810" w:type="pct"/>
            <w:shd w:val="clear" w:color="auto" w:fill="auto"/>
            <w:tcMar>
              <w:top w:w="0" w:type="dxa"/>
              <w:bottom w:w="0" w:type="dxa"/>
            </w:tcMar>
            <w:vAlign w:val="center"/>
          </w:tcPr>
          <w:p w14:paraId="054642E8" w14:textId="77777777" w:rsidR="00325D5B" w:rsidRPr="00E61EF8" w:rsidRDefault="005223E8" w:rsidP="00E61EF8">
            <w:pPr>
              <w:pBdr>
                <w:top w:val="nil"/>
                <w:left w:val="nil"/>
                <w:bottom w:val="nil"/>
                <w:right w:val="nil"/>
                <w:between w:val="nil"/>
              </w:pBdr>
              <w:spacing w:after="120" w:line="360" w:lineRule="auto"/>
              <w:jc w:val="center"/>
              <w:rPr>
                <w:rFonts w:ascii="Arial" w:eastAsia="Arial" w:hAnsi="Arial" w:cs="Arial"/>
                <w:sz w:val="20"/>
                <w:szCs w:val="20"/>
              </w:rPr>
            </w:pPr>
            <w:r>
              <w:rPr>
                <w:rFonts w:ascii="Arial" w:hAnsi="Arial"/>
                <w:sz w:val="20"/>
              </w:rPr>
              <w:t>3,000</w:t>
            </w:r>
          </w:p>
        </w:tc>
        <w:tc>
          <w:tcPr>
            <w:tcW w:w="2233" w:type="pct"/>
            <w:gridSpan w:val="3"/>
            <w:shd w:val="clear" w:color="auto" w:fill="auto"/>
            <w:tcMar>
              <w:top w:w="0" w:type="dxa"/>
              <w:bottom w:w="0" w:type="dxa"/>
            </w:tcMar>
            <w:vAlign w:val="center"/>
          </w:tcPr>
          <w:p w14:paraId="73817CB2" w14:textId="77777777" w:rsidR="00325D5B" w:rsidRPr="00E61EF8" w:rsidRDefault="00325D5B" w:rsidP="00E61EF8">
            <w:pPr>
              <w:spacing w:after="120" w:line="360" w:lineRule="auto"/>
              <w:jc w:val="center"/>
              <w:rPr>
                <w:rFonts w:ascii="Arial" w:eastAsia="Arial" w:hAnsi="Arial" w:cs="Arial"/>
                <w:sz w:val="20"/>
                <w:szCs w:val="20"/>
              </w:rPr>
            </w:pPr>
          </w:p>
        </w:tc>
      </w:tr>
    </w:tbl>
    <w:p w14:paraId="25597C3C" w14:textId="77777777" w:rsidR="00325D5B" w:rsidRPr="00E61EF8" w:rsidRDefault="005223E8" w:rsidP="00E61EF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 Thus, as of March 31, 2024, Vietbank has successfully completed the public issuance of VND 3,000 billion of bonds in accordance with General Mandate No. 02/2021/NQ-DHDCD and related General Mandates.</w:t>
      </w:r>
    </w:p>
    <w:p w14:paraId="74FFC1FD" w14:textId="77777777" w:rsidR="00325D5B" w:rsidRPr="00E61EF8" w:rsidRDefault="005223E8" w:rsidP="00E61EF8">
      <w:pPr>
        <w:numPr>
          <w:ilvl w:val="0"/>
          <w:numId w:val="11"/>
        </w:numPr>
        <w:pBdr>
          <w:top w:val="nil"/>
          <w:left w:val="nil"/>
          <w:bottom w:val="nil"/>
          <w:right w:val="nil"/>
          <w:between w:val="nil"/>
        </w:pBdr>
        <w:tabs>
          <w:tab w:val="left" w:pos="327"/>
        </w:tabs>
        <w:spacing w:after="120" w:line="360" w:lineRule="auto"/>
        <w:rPr>
          <w:rFonts w:ascii="Arial" w:eastAsia="Arial" w:hAnsi="Arial" w:cs="Arial"/>
          <w:sz w:val="20"/>
          <w:szCs w:val="20"/>
        </w:rPr>
      </w:pPr>
      <w:r>
        <w:rPr>
          <w:rFonts w:ascii="Arial" w:hAnsi="Arial"/>
          <w:sz w:val="20"/>
        </w:rPr>
        <w:t>Approve the Report on the progress of implementing the investment in purchasing Lim 2 assets according to the General Mandate No. 01/2023/NQ-DHDCD dated April 26, 2023 and related General Mandates.</w:t>
      </w:r>
    </w:p>
    <w:p w14:paraId="12C20FF5" w14:textId="77777777" w:rsidR="00325D5B" w:rsidRPr="00E61EF8" w:rsidRDefault="005223E8" w:rsidP="00E61EF8">
      <w:pPr>
        <w:numPr>
          <w:ilvl w:val="0"/>
          <w:numId w:val="11"/>
        </w:numPr>
        <w:pBdr>
          <w:top w:val="nil"/>
          <w:left w:val="nil"/>
          <w:bottom w:val="nil"/>
          <w:right w:val="nil"/>
          <w:between w:val="nil"/>
        </w:pBdr>
        <w:tabs>
          <w:tab w:val="left" w:pos="378"/>
        </w:tabs>
        <w:spacing w:after="120" w:line="360" w:lineRule="auto"/>
        <w:rPr>
          <w:rFonts w:ascii="Arial" w:eastAsia="Arial" w:hAnsi="Arial" w:cs="Arial"/>
          <w:sz w:val="20"/>
          <w:szCs w:val="20"/>
        </w:rPr>
      </w:pPr>
      <w:r>
        <w:rPr>
          <w:rFonts w:ascii="Arial" w:hAnsi="Arial"/>
          <w:sz w:val="20"/>
        </w:rPr>
        <w:t>Approve the Report on credit granting to entities as prescribed in Clause 1, Article 127 of the Law on Credit Institutions.</w:t>
      </w:r>
    </w:p>
    <w:p w14:paraId="39EAE606" w14:textId="77777777" w:rsidR="00325D5B" w:rsidRPr="00E61EF8" w:rsidRDefault="005223E8" w:rsidP="00E61EF8">
      <w:pPr>
        <w:numPr>
          <w:ilvl w:val="0"/>
          <w:numId w:val="11"/>
        </w:numPr>
        <w:pBdr>
          <w:top w:val="nil"/>
          <w:left w:val="nil"/>
          <w:bottom w:val="nil"/>
          <w:right w:val="nil"/>
          <w:between w:val="nil"/>
        </w:pBdr>
        <w:tabs>
          <w:tab w:val="left" w:pos="383"/>
        </w:tabs>
        <w:spacing w:after="120" w:line="360" w:lineRule="auto"/>
        <w:rPr>
          <w:rFonts w:ascii="Arial" w:eastAsia="Arial" w:hAnsi="Arial" w:cs="Arial"/>
          <w:sz w:val="20"/>
          <w:szCs w:val="20"/>
        </w:rPr>
      </w:pPr>
      <w:r>
        <w:rPr>
          <w:rFonts w:ascii="Arial" w:hAnsi="Arial"/>
          <w:sz w:val="20"/>
        </w:rPr>
        <w:t>Approve the Report on amending and supplementing the organizational structure of Vietbank's executive apparatus; at the same time, continue to authorize the Board of Directors according to General Mandate No. 01/2023/NQ-DHDCD to decide on the organizational structure and management apparatus of Vietbank in 2023 and the following years (including deciding on amendments, supplements, replacements...) and report back to the General Meeting of Shareholders at the nearest meeting (if there are any changes).</w:t>
      </w:r>
    </w:p>
    <w:p w14:paraId="03873A9E" w14:textId="77777777" w:rsidR="00325D5B" w:rsidRPr="00E61EF8" w:rsidRDefault="005223E8" w:rsidP="00E61EF8">
      <w:pPr>
        <w:numPr>
          <w:ilvl w:val="0"/>
          <w:numId w:val="11"/>
        </w:numPr>
        <w:pBdr>
          <w:top w:val="nil"/>
          <w:left w:val="nil"/>
          <w:bottom w:val="nil"/>
          <w:right w:val="nil"/>
          <w:between w:val="nil"/>
        </w:pBdr>
        <w:tabs>
          <w:tab w:val="left" w:pos="383"/>
        </w:tabs>
        <w:spacing w:after="120" w:line="360" w:lineRule="auto"/>
        <w:rPr>
          <w:rFonts w:ascii="Arial" w:eastAsia="Arial" w:hAnsi="Arial" w:cs="Arial"/>
          <w:sz w:val="20"/>
          <w:szCs w:val="20"/>
        </w:rPr>
      </w:pPr>
      <w:r>
        <w:rPr>
          <w:rFonts w:ascii="Arial" w:hAnsi="Arial"/>
          <w:sz w:val="20"/>
        </w:rPr>
        <w:lastRenderedPageBreak/>
        <w:t>Approve the Report on the results of debt classification and risk provisioning in accordance with the provisions of Circular No. 11/2021/TT-NHNN.</w:t>
      </w:r>
    </w:p>
    <w:p w14:paraId="75E068FB" w14:textId="77777777" w:rsidR="00325D5B" w:rsidRPr="00E61EF8" w:rsidRDefault="005223E8" w:rsidP="00E61EF8">
      <w:pPr>
        <w:numPr>
          <w:ilvl w:val="0"/>
          <w:numId w:val="11"/>
        </w:numPr>
        <w:pBdr>
          <w:top w:val="nil"/>
          <w:left w:val="nil"/>
          <w:bottom w:val="nil"/>
          <w:right w:val="nil"/>
          <w:between w:val="nil"/>
        </w:pBdr>
        <w:tabs>
          <w:tab w:val="left" w:pos="383"/>
        </w:tabs>
        <w:spacing w:after="120" w:line="360" w:lineRule="auto"/>
        <w:rPr>
          <w:rFonts w:ascii="Arial" w:eastAsia="Arial" w:hAnsi="Arial" w:cs="Arial"/>
          <w:sz w:val="20"/>
          <w:szCs w:val="20"/>
        </w:rPr>
      </w:pPr>
      <w:r>
        <w:rPr>
          <w:rFonts w:ascii="Arial" w:hAnsi="Arial"/>
          <w:sz w:val="20"/>
        </w:rPr>
        <w:t>Approve the Report on the development of the Restructuring Plan associated with bad debt handling for the period 2021-2025.</w:t>
      </w:r>
    </w:p>
    <w:p w14:paraId="3D285E1E" w14:textId="77777777" w:rsidR="00325D5B" w:rsidRPr="00E61EF8" w:rsidRDefault="005223E8" w:rsidP="00E61EF8">
      <w:pPr>
        <w:numPr>
          <w:ilvl w:val="0"/>
          <w:numId w:val="11"/>
        </w:numPr>
        <w:pBdr>
          <w:top w:val="nil"/>
          <w:left w:val="nil"/>
          <w:bottom w:val="nil"/>
          <w:right w:val="nil"/>
          <w:between w:val="nil"/>
        </w:pBdr>
        <w:tabs>
          <w:tab w:val="left" w:pos="383"/>
        </w:tabs>
        <w:spacing w:after="120" w:line="360" w:lineRule="auto"/>
        <w:rPr>
          <w:rFonts w:ascii="Arial" w:eastAsia="Arial" w:hAnsi="Arial" w:cs="Arial"/>
          <w:sz w:val="20"/>
          <w:szCs w:val="20"/>
        </w:rPr>
      </w:pPr>
      <w:r>
        <w:rPr>
          <w:rFonts w:ascii="Arial" w:hAnsi="Arial"/>
          <w:sz w:val="20"/>
        </w:rPr>
        <w:t>Approve the Proposal on remuneration levels and operating budget of the Board of Directors and Supervisory Board in 2024, specifically:</w:t>
      </w:r>
    </w:p>
    <w:p w14:paraId="50AF8555" w14:textId="77777777" w:rsidR="00325D5B" w:rsidRPr="00E61EF8" w:rsidRDefault="005223E8" w:rsidP="00E61EF8">
      <w:pPr>
        <w:numPr>
          <w:ilvl w:val="0"/>
          <w:numId w:val="6"/>
        </w:numPr>
        <w:pBdr>
          <w:top w:val="nil"/>
          <w:left w:val="nil"/>
          <w:bottom w:val="nil"/>
          <w:right w:val="nil"/>
          <w:between w:val="nil"/>
        </w:pBdr>
        <w:tabs>
          <w:tab w:val="left" w:pos="327"/>
        </w:tabs>
        <w:spacing w:after="120" w:line="360" w:lineRule="auto"/>
        <w:rPr>
          <w:rFonts w:ascii="Arial" w:eastAsia="Arial" w:hAnsi="Arial" w:cs="Arial"/>
          <w:sz w:val="20"/>
          <w:szCs w:val="20"/>
        </w:rPr>
      </w:pPr>
      <w:r>
        <w:rPr>
          <w:rFonts w:ascii="Arial" w:hAnsi="Arial"/>
          <w:sz w:val="20"/>
        </w:rPr>
        <w:t>The total operating budget and remuneration of the Board of Directors and Supervisory Board in 2024 is VND 40,000,000,000. The total remuneration of members of the Board of Directors and Supervisory Board does not include personal income tax. All related personal income tax as prescribed will be paid by Vietbank.</w:t>
      </w:r>
    </w:p>
    <w:p w14:paraId="789ADEF3" w14:textId="77777777" w:rsidR="00325D5B" w:rsidRPr="00E61EF8" w:rsidRDefault="005223E8" w:rsidP="00E61EF8">
      <w:pPr>
        <w:numPr>
          <w:ilvl w:val="0"/>
          <w:numId w:val="6"/>
        </w:numPr>
        <w:pBdr>
          <w:top w:val="nil"/>
          <w:left w:val="nil"/>
          <w:bottom w:val="nil"/>
          <w:right w:val="nil"/>
          <w:between w:val="nil"/>
        </w:pBdr>
        <w:tabs>
          <w:tab w:val="left" w:pos="327"/>
        </w:tabs>
        <w:spacing w:after="120" w:line="360" w:lineRule="auto"/>
        <w:rPr>
          <w:rFonts w:ascii="Arial" w:eastAsia="Arial" w:hAnsi="Arial" w:cs="Arial"/>
          <w:sz w:val="20"/>
          <w:szCs w:val="20"/>
        </w:rPr>
      </w:pPr>
      <w:r>
        <w:rPr>
          <w:rFonts w:ascii="Arial" w:hAnsi="Arial"/>
          <w:sz w:val="20"/>
        </w:rPr>
        <w:t>The operating budget includes business trip allowances; airfare, conference expenses, reception, solemnity; postage and telephone expenses, guest reception expenses, partner gift expenses on holidays and Tet; working tools and equipment...).</w:t>
      </w:r>
    </w:p>
    <w:p w14:paraId="6867FEA5" w14:textId="77777777" w:rsidR="00325D5B" w:rsidRPr="00E61EF8" w:rsidRDefault="005223E8" w:rsidP="00E61EF8">
      <w:pPr>
        <w:numPr>
          <w:ilvl w:val="0"/>
          <w:numId w:val="6"/>
        </w:numPr>
        <w:pBdr>
          <w:top w:val="nil"/>
          <w:left w:val="nil"/>
          <w:bottom w:val="nil"/>
          <w:right w:val="nil"/>
          <w:between w:val="nil"/>
        </w:pBdr>
        <w:tabs>
          <w:tab w:val="left" w:pos="327"/>
        </w:tabs>
        <w:spacing w:after="120" w:line="360" w:lineRule="auto"/>
        <w:rPr>
          <w:rFonts w:ascii="Arial" w:eastAsia="Arial" w:hAnsi="Arial" w:cs="Arial"/>
          <w:sz w:val="20"/>
          <w:szCs w:val="20"/>
        </w:rPr>
      </w:pPr>
      <w:r>
        <w:rPr>
          <w:rFonts w:ascii="Arial" w:hAnsi="Arial"/>
          <w:sz w:val="20"/>
        </w:rPr>
        <w:t>Assign the Standing Board to decide on the specific remuneration level for each member of the Board of Directors and Supervisory Board; The Standing Board of Directors or the Chair of the Board of Directors and 01 member of the Board of Directors assigned by the Board of Directors will approve in detail the expenses of the Board of Directors and Supervisory Board.</w:t>
      </w:r>
    </w:p>
    <w:p w14:paraId="78A0EF35" w14:textId="77777777" w:rsidR="00325D5B" w:rsidRPr="00E61EF8" w:rsidRDefault="005223E8" w:rsidP="00E61EF8">
      <w:pPr>
        <w:numPr>
          <w:ilvl w:val="0"/>
          <w:numId w:val="11"/>
        </w:numPr>
        <w:pBdr>
          <w:top w:val="nil"/>
          <w:left w:val="nil"/>
          <w:bottom w:val="nil"/>
          <w:right w:val="nil"/>
          <w:between w:val="nil"/>
        </w:pBdr>
        <w:tabs>
          <w:tab w:val="left" w:pos="378"/>
        </w:tabs>
        <w:spacing w:after="120" w:line="360" w:lineRule="auto"/>
        <w:rPr>
          <w:rFonts w:ascii="Arial" w:eastAsia="Arial" w:hAnsi="Arial" w:cs="Arial"/>
          <w:sz w:val="20"/>
          <w:szCs w:val="20"/>
        </w:rPr>
      </w:pPr>
      <w:r>
        <w:rPr>
          <w:rFonts w:ascii="Arial" w:hAnsi="Arial"/>
          <w:sz w:val="20"/>
        </w:rPr>
        <w:t>Approve the Proposal on amending and supplementing the Set of Regulations on Governance and Control in accordance with the Law on Credit Institutions in 2024, accordingly, the General Meeting of Shareholders approves:</w:t>
      </w:r>
    </w:p>
    <w:p w14:paraId="5105BA57" w14:textId="77777777" w:rsidR="00325D5B" w:rsidRPr="00E61EF8" w:rsidRDefault="005223E8" w:rsidP="00E61EF8">
      <w:pPr>
        <w:numPr>
          <w:ilvl w:val="0"/>
          <w:numId w:val="7"/>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Approve the Set of Regulations on organization, governance, and control, including: (i) Charter on organization and operation; (ii) Internal regulations on corporate governance at Vietbank; (iii) Regulations on organization and operation of the Board of Directors; (iv) Regulations on organization and operation of the Supervisory Board based on the amended and supplemented contents according to the Proposal and the enclosed draft(s) and comparison table of amended contents.</w:t>
      </w:r>
    </w:p>
    <w:p w14:paraId="63CA7FA2" w14:textId="77777777" w:rsidR="00325D5B" w:rsidRPr="00E61EF8" w:rsidRDefault="005223E8" w:rsidP="00E61EF8">
      <w:pPr>
        <w:numPr>
          <w:ilvl w:val="0"/>
          <w:numId w:val="7"/>
        </w:numPr>
        <w:pBdr>
          <w:top w:val="nil"/>
          <w:left w:val="nil"/>
          <w:bottom w:val="nil"/>
          <w:right w:val="nil"/>
          <w:between w:val="nil"/>
        </w:pBdr>
        <w:spacing w:after="120" w:line="360" w:lineRule="auto"/>
        <w:ind w:left="0" w:firstLine="0"/>
        <w:rPr>
          <w:rFonts w:ascii="Arial" w:eastAsia="Arial" w:hAnsi="Arial" w:cs="Arial"/>
          <w:sz w:val="20"/>
          <w:szCs w:val="20"/>
        </w:rPr>
      </w:pPr>
      <w:r>
        <w:rPr>
          <w:rFonts w:ascii="Arial" w:hAnsi="Arial"/>
          <w:sz w:val="20"/>
        </w:rPr>
        <w:t>Assign the Board of Directors to direct the Office of the Board of Directors and relevant Business Units to review and finalize the Set of Regulations for signing and promulgation with effect from July 1, 2024 to comply with the effectiveness of the Law on Credit Institutions in 2024.</w:t>
      </w:r>
    </w:p>
    <w:p w14:paraId="6A8F567F" w14:textId="77777777" w:rsidR="00325D5B" w:rsidRPr="00E61EF8" w:rsidRDefault="005223E8" w:rsidP="00E61EF8">
      <w:pPr>
        <w:numPr>
          <w:ilvl w:val="0"/>
          <w:numId w:val="11"/>
        </w:numPr>
        <w:pBdr>
          <w:top w:val="nil"/>
          <w:left w:val="nil"/>
          <w:bottom w:val="nil"/>
          <w:right w:val="nil"/>
          <w:between w:val="nil"/>
        </w:pBdr>
        <w:tabs>
          <w:tab w:val="left" w:pos="383"/>
        </w:tabs>
        <w:spacing w:after="120" w:line="360" w:lineRule="auto"/>
        <w:rPr>
          <w:rFonts w:ascii="Arial" w:eastAsia="Arial" w:hAnsi="Arial" w:cs="Arial"/>
          <w:sz w:val="20"/>
          <w:szCs w:val="20"/>
        </w:rPr>
      </w:pPr>
      <w:r>
        <w:rPr>
          <w:rFonts w:ascii="Arial" w:hAnsi="Arial"/>
          <w:sz w:val="20"/>
        </w:rPr>
        <w:t>Approve the selection of an independent audit company to perform the audit in 2024 and 2025, specifically:</w:t>
      </w:r>
    </w:p>
    <w:p w14:paraId="17F62E84" w14:textId="77777777" w:rsidR="00325D5B" w:rsidRPr="00E61EF8" w:rsidRDefault="005223E8" w:rsidP="00E61EF8">
      <w:pPr>
        <w:numPr>
          <w:ilvl w:val="0"/>
          <w:numId w:val="9"/>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Approve the results of selecting an independent audit company as stated in the Proposal.</w:t>
      </w:r>
    </w:p>
    <w:p w14:paraId="5A633267" w14:textId="77777777" w:rsidR="00325D5B" w:rsidRPr="00E61EF8" w:rsidRDefault="005223E8" w:rsidP="00E61EF8">
      <w:pPr>
        <w:numPr>
          <w:ilvl w:val="0"/>
          <w:numId w:val="9"/>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In case there are changes in the independent audit company in 2024 and 2025 (including existing mandatory audit contents and scope, and additional ones as required by law), respectfully submit to the General Meeting of Shareholders for approval to select one (1) out of four (4) leading international audit companies in Vietnam (including PricewaterhouseCoopers - PWC, Deloitte, KPMG, </w:t>
      </w:r>
      <w:r>
        <w:rPr>
          <w:rFonts w:ascii="Arial" w:hAnsi="Arial"/>
          <w:sz w:val="20"/>
        </w:rPr>
        <w:lastRenderedPageBreak/>
        <w:t>EY) or one of the independent audit companies approved by the State Securities Commission.  The selection will be specifically proposed by the Supervisory Board to the Board of Directors, and the implementation results will be reported at the next General Meeting of Shareholders.</w:t>
      </w:r>
    </w:p>
    <w:p w14:paraId="2A9178F4" w14:textId="77777777" w:rsidR="00325D5B" w:rsidRPr="00E61EF8" w:rsidRDefault="005223E8" w:rsidP="00E61EF8">
      <w:pPr>
        <w:numPr>
          <w:ilvl w:val="0"/>
          <w:numId w:val="9"/>
        </w:num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Other contents related to independent audits will continue to be implemented in accordance with Resolution No. 01/2023/NQ-DHDCD dated April 26, 2023, approved by the General Meeting of Shareholders.</w:t>
      </w:r>
    </w:p>
    <w:p w14:paraId="29D9F2D2" w14:textId="77777777" w:rsidR="00325D5B" w:rsidRPr="00E61EF8" w:rsidRDefault="005223E8" w:rsidP="00E61EF8">
      <w:pPr>
        <w:numPr>
          <w:ilvl w:val="0"/>
          <w:numId w:val="11"/>
        </w:numPr>
        <w:pBdr>
          <w:top w:val="nil"/>
          <w:left w:val="nil"/>
          <w:bottom w:val="nil"/>
          <w:right w:val="nil"/>
          <w:between w:val="nil"/>
        </w:pBdr>
        <w:tabs>
          <w:tab w:val="left" w:pos="1310"/>
        </w:tabs>
        <w:spacing w:after="120" w:line="360" w:lineRule="auto"/>
        <w:rPr>
          <w:rFonts w:ascii="Arial" w:eastAsia="Arial" w:hAnsi="Arial" w:cs="Arial"/>
          <w:sz w:val="20"/>
          <w:szCs w:val="20"/>
        </w:rPr>
      </w:pPr>
      <w:r>
        <w:rPr>
          <w:rFonts w:ascii="Arial" w:hAnsi="Arial"/>
          <w:sz w:val="20"/>
        </w:rPr>
        <w:t>Approve the annual Report on the disclosure of related interests of members of the Board of Directors, Supervisory Board, and Board of Management (in 2023).</w:t>
      </w:r>
    </w:p>
    <w:p w14:paraId="29453563" w14:textId="77777777" w:rsidR="00325D5B" w:rsidRPr="00E61EF8" w:rsidRDefault="005223E8" w:rsidP="00E61EF8">
      <w:pPr>
        <w:numPr>
          <w:ilvl w:val="0"/>
          <w:numId w:val="11"/>
        </w:numPr>
        <w:pBdr>
          <w:top w:val="nil"/>
          <w:left w:val="nil"/>
          <w:bottom w:val="nil"/>
          <w:right w:val="nil"/>
          <w:between w:val="nil"/>
        </w:pBdr>
        <w:spacing w:after="120" w:line="360" w:lineRule="auto"/>
        <w:rPr>
          <w:rFonts w:ascii="Arial" w:eastAsia="Arial" w:hAnsi="Arial" w:cs="Arial"/>
          <w:sz w:val="20"/>
          <w:szCs w:val="20"/>
        </w:rPr>
        <w:sectPr w:rsidR="00325D5B" w:rsidRPr="00E61EF8" w:rsidSect="00E61EF8">
          <w:pgSz w:w="11906" w:h="16838"/>
          <w:pgMar w:top="1440" w:right="1440" w:bottom="1440" w:left="1440" w:header="0" w:footer="3" w:gutter="0"/>
          <w:pgNumType w:start="1"/>
          <w:cols w:space="720"/>
          <w:docGrid w:linePitch="326"/>
        </w:sectPr>
      </w:pPr>
      <w:r>
        <w:rPr>
          <w:rFonts w:ascii="Arial" w:hAnsi="Arial"/>
          <w:sz w:val="20"/>
        </w:rPr>
        <w:t>Assign the Board of Directors, Supervisory Board, General Manager, and relevant units throughout the system to implement the above Decisions of the General Meeting of Shareholders and report back to the General Meeting of Shareholders on decisions that have not been fully implemented and/or decisions with contents that require reporting back to the General Meeting of Shareholders.</w:t>
      </w:r>
    </w:p>
    <w:p w14:paraId="5F1DDB4C" w14:textId="77777777" w:rsidR="00325D5B" w:rsidRPr="00E61EF8" w:rsidRDefault="00325D5B" w:rsidP="00E61EF8">
      <w:pPr>
        <w:tabs>
          <w:tab w:val="left" w:pos="3027"/>
        </w:tabs>
        <w:spacing w:after="120" w:line="360" w:lineRule="auto"/>
        <w:rPr>
          <w:rFonts w:ascii="Arial" w:eastAsia="Arial" w:hAnsi="Arial" w:cs="Arial"/>
          <w:sz w:val="20"/>
          <w:szCs w:val="20"/>
        </w:rPr>
      </w:pPr>
    </w:p>
    <w:sectPr w:rsidR="00325D5B" w:rsidRPr="00E61EF8" w:rsidSect="00E61EF8">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EDB"/>
    <w:multiLevelType w:val="multilevel"/>
    <w:tmpl w:val="2F3C9FF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280C20"/>
    <w:multiLevelType w:val="multilevel"/>
    <w:tmpl w:val="D27A330C"/>
    <w:lvl w:ilvl="0">
      <w:start w:val="1"/>
      <w:numFmt w:val="lowerLetter"/>
      <w:lvlText w:val="%1."/>
      <w:lvlJc w:val="left"/>
      <w:pPr>
        <w:ind w:left="0" w:firstLine="0"/>
      </w:pPr>
      <w:rPr>
        <w:rFonts w:ascii="Arial" w:eastAsia="Arial" w:hAnsi="Arial" w:cs="Arial"/>
        <w:b w:val="0"/>
        <w:i w:val="0"/>
        <w:smallCaps w:val="0"/>
        <w:strike w:val="0"/>
        <w:color w:val="000000"/>
        <w:sz w:val="20"/>
        <w:szCs w:val="19"/>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1867C1"/>
    <w:multiLevelType w:val="multilevel"/>
    <w:tmpl w:val="A41E91AE"/>
    <w:lvl w:ilvl="0">
      <w:start w:val="1"/>
      <w:numFmt w:val="lowerLetter"/>
      <w:lvlText w:val="%1."/>
      <w:lvlJc w:val="left"/>
      <w:pPr>
        <w:ind w:left="720" w:hanging="360"/>
      </w:pPr>
      <w:rPr>
        <w:b w:val="0"/>
        <w:i w:val="0"/>
        <w:sz w:val="20"/>
      </w:rPr>
    </w:lvl>
    <w:lvl w:ilvl="1">
      <w:start w:val="1"/>
      <w:numFmt w:val="lowerRoman"/>
      <w:lvlText w:val="(%2)"/>
      <w:lvlJc w:val="left"/>
      <w:pPr>
        <w:ind w:left="1800" w:hanging="72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26F58"/>
    <w:multiLevelType w:val="multilevel"/>
    <w:tmpl w:val="D2106270"/>
    <w:lvl w:ilvl="0">
      <w:start w:val="1"/>
      <w:numFmt w:val="lowerLetter"/>
      <w:lvlText w:val="%1."/>
      <w:lvlJc w:val="left"/>
      <w:pPr>
        <w:ind w:left="0" w:firstLine="0"/>
      </w:pPr>
      <w:rPr>
        <w:rFonts w:ascii="Arial" w:eastAsia="Arial" w:hAnsi="Arial" w:cs="Arial"/>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38F5445"/>
    <w:multiLevelType w:val="multilevel"/>
    <w:tmpl w:val="087E0FB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742B06"/>
    <w:multiLevelType w:val="multilevel"/>
    <w:tmpl w:val="5F5E1972"/>
    <w:lvl w:ilvl="0">
      <w:start w:val="1"/>
      <w:numFmt w:val="lowerLetter"/>
      <w:lvlText w:val="%1."/>
      <w:lvlJc w:val="left"/>
      <w:pPr>
        <w:ind w:left="0" w:firstLine="0"/>
      </w:pPr>
      <w:rPr>
        <w:rFonts w:ascii="Arial" w:eastAsia="Arial" w:hAnsi="Arial" w:cs="Arial"/>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AA81A1B"/>
    <w:multiLevelType w:val="multilevel"/>
    <w:tmpl w:val="38BCCB7E"/>
    <w:lvl w:ilvl="0">
      <w:start w:val="2"/>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CA06E7"/>
    <w:multiLevelType w:val="multilevel"/>
    <w:tmpl w:val="6ACA55BA"/>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A639EF"/>
    <w:multiLevelType w:val="multilevel"/>
    <w:tmpl w:val="4942BCF2"/>
    <w:lvl w:ilvl="0">
      <w:start w:val="1"/>
      <w:numFmt w:val="lowerLetter"/>
      <w:lvlText w:val="%1."/>
      <w:lvlJc w:val="left"/>
      <w:pPr>
        <w:ind w:left="720" w:hanging="360"/>
      </w:pPr>
      <w:rPr>
        <w:b w:val="0"/>
        <w:i w:val="0"/>
        <w:sz w:val="20"/>
      </w:rPr>
    </w:lvl>
    <w:lvl w:ilvl="1">
      <w:start w:val="1"/>
      <w:numFmt w:val="lowerRoman"/>
      <w:lvlText w:val="(%2)"/>
      <w:lvlJc w:val="left"/>
      <w:pPr>
        <w:ind w:left="1800" w:hanging="72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7E0641"/>
    <w:multiLevelType w:val="multilevel"/>
    <w:tmpl w:val="954AD56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8472A7"/>
    <w:multiLevelType w:val="multilevel"/>
    <w:tmpl w:val="9606D92C"/>
    <w:lvl w:ilvl="0">
      <w:start w:val="1"/>
      <w:numFmt w:val="bullet"/>
      <w:lvlText w:val="-"/>
      <w:lvlJc w:val="left"/>
      <w:pPr>
        <w:ind w:left="0" w:firstLine="0"/>
      </w:pPr>
      <w:rPr>
        <w:rFonts w:ascii="Arial" w:eastAsia="Arial" w:hAnsi="Arial" w:cs="Arial"/>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423CC6"/>
    <w:multiLevelType w:val="multilevel"/>
    <w:tmpl w:val="F12A792A"/>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10539E6"/>
    <w:multiLevelType w:val="multilevel"/>
    <w:tmpl w:val="E8A0E67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6956F2"/>
    <w:multiLevelType w:val="multilevel"/>
    <w:tmpl w:val="3C527036"/>
    <w:lvl w:ilvl="0">
      <w:start w:val="4"/>
      <w:numFmt w:val="lowerLetter"/>
      <w:lvlText w:val="%1."/>
      <w:lvlJc w:val="left"/>
      <w:pPr>
        <w:ind w:left="0" w:firstLine="0"/>
      </w:pPr>
      <w:rPr>
        <w:rFonts w:ascii="Arial" w:eastAsia="Arial" w:hAnsi="Arial" w:cs="Arial"/>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67C71B9"/>
    <w:multiLevelType w:val="multilevel"/>
    <w:tmpl w:val="38709DC0"/>
    <w:lvl w:ilvl="0">
      <w:start w:val="1"/>
      <w:numFmt w:val="lowerLetter"/>
      <w:lvlText w:val="%1."/>
      <w:lvlJc w:val="left"/>
      <w:pPr>
        <w:ind w:left="0" w:firstLine="0"/>
      </w:pPr>
      <w:rPr>
        <w:rFonts w:ascii="Arial" w:eastAsia="Arial" w:hAnsi="Arial" w:cs="Arial"/>
        <w:b w:val="0"/>
        <w:i w:val="0"/>
        <w:smallCaps w:val="0"/>
        <w:strike w:val="0"/>
        <w:color w:val="000000"/>
        <w:sz w:val="20"/>
        <w:szCs w:val="19"/>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84242FF"/>
    <w:multiLevelType w:val="multilevel"/>
    <w:tmpl w:val="AA680600"/>
    <w:lvl w:ilvl="0">
      <w:start w:val="1"/>
      <w:numFmt w:val="lowerRoman"/>
      <w:lvlText w:val="(%1)"/>
      <w:lvlJc w:val="left"/>
      <w:pPr>
        <w:ind w:left="0" w:firstLine="0"/>
      </w:pPr>
      <w:rPr>
        <w:rFonts w:ascii="Arial" w:eastAsia="Arial" w:hAnsi="Arial" w:cs="Arial"/>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93F438C"/>
    <w:multiLevelType w:val="multilevel"/>
    <w:tmpl w:val="3306D3E2"/>
    <w:lvl w:ilvl="0">
      <w:start w:val="1"/>
      <w:numFmt w:val="decimal"/>
      <w:lvlText w:val="%1."/>
      <w:lvlJc w:val="left"/>
      <w:pPr>
        <w:ind w:left="0" w:firstLine="0"/>
      </w:pPr>
      <w:rPr>
        <w:rFonts w:ascii="Arial" w:eastAsia="Arial" w:hAnsi="Arial" w:cs="Arial"/>
        <w:b w:val="0"/>
        <w:i w:val="0"/>
        <w:smallCaps w:val="0"/>
        <w:strike w:val="0"/>
        <w:color w:val="000000"/>
        <w:sz w:val="20"/>
        <w:szCs w:val="19"/>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D9631E1"/>
    <w:multiLevelType w:val="multilevel"/>
    <w:tmpl w:val="00284D40"/>
    <w:lvl w:ilvl="0">
      <w:start w:val="8"/>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1"/>
  </w:num>
  <w:num w:numId="3">
    <w:abstractNumId w:val="13"/>
  </w:num>
  <w:num w:numId="4">
    <w:abstractNumId w:val="0"/>
  </w:num>
  <w:num w:numId="5">
    <w:abstractNumId w:val="15"/>
  </w:num>
  <w:num w:numId="6">
    <w:abstractNumId w:val="3"/>
  </w:num>
  <w:num w:numId="7">
    <w:abstractNumId w:val="7"/>
  </w:num>
  <w:num w:numId="8">
    <w:abstractNumId w:val="17"/>
  </w:num>
  <w:num w:numId="9">
    <w:abstractNumId w:val="5"/>
  </w:num>
  <w:num w:numId="10">
    <w:abstractNumId w:val="6"/>
  </w:num>
  <w:num w:numId="11">
    <w:abstractNumId w:val="16"/>
  </w:num>
  <w:num w:numId="12">
    <w:abstractNumId w:val="14"/>
  </w:num>
  <w:num w:numId="13">
    <w:abstractNumId w:val="1"/>
  </w:num>
  <w:num w:numId="14">
    <w:abstractNumId w:val="2"/>
  </w:num>
  <w:num w:numId="15">
    <w:abstractNumId w:val="8"/>
  </w:num>
  <w:num w:numId="16">
    <w:abstractNumId w:val="1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5B"/>
    <w:rsid w:val="00325D5B"/>
    <w:rsid w:val="005223E8"/>
    <w:rsid w:val="00D7313D"/>
    <w:rsid w:val="00E6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FFDFF"/>
  <w15:docId w15:val="{64705AD8-B7D9-48DA-BE42-BA3A39D7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Arial" w:eastAsia="Arial" w:hAnsi="Arial" w:cs="Arial"/>
      <w:b w:val="0"/>
      <w:bCs w:val="0"/>
      <w:i w:val="0"/>
      <w:iCs w:val="0"/>
      <w:smallCaps w:val="0"/>
      <w:strike w:val="0"/>
      <w:sz w:val="19"/>
      <w:szCs w:val="19"/>
      <w:u w:val="none"/>
      <w:shd w:val="clear" w:color="auto" w:fill="auto"/>
    </w:rPr>
  </w:style>
  <w:style w:type="character" w:customStyle="1" w:styleId="Tiu3">
    <w:name w:val="Tiêu đề #3_"/>
    <w:basedOn w:val="DefaultParagraphFont"/>
    <w:link w:val="Tiu30"/>
    <w:rPr>
      <w:rFonts w:ascii="Arial" w:eastAsia="Arial" w:hAnsi="Arial" w:cs="Arial"/>
      <w:b w:val="0"/>
      <w:bCs w:val="0"/>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Arial" w:eastAsia="Arial" w:hAnsi="Arial" w:cs="Arial"/>
      <w:b w:val="0"/>
      <w:bCs w:val="0"/>
      <w:i/>
      <w:iCs/>
      <w:smallCaps w:val="0"/>
      <w:strike w:val="0"/>
      <w:sz w:val="19"/>
      <w:szCs w:val="19"/>
      <w:u w:val="none"/>
      <w:shd w:val="clear" w:color="auto" w:fill="auto"/>
    </w:rPr>
  </w:style>
  <w:style w:type="character" w:customStyle="1" w:styleId="Khc">
    <w:name w:val="Khác_"/>
    <w:basedOn w:val="DefaultParagraphFont"/>
    <w:link w:val="Khc0"/>
    <w:rPr>
      <w:rFonts w:ascii="Arial" w:eastAsia="Arial" w:hAnsi="Arial" w:cs="Arial"/>
      <w:b w:val="0"/>
      <w:bCs w:val="0"/>
      <w:i w:val="0"/>
      <w:iCs w:val="0"/>
      <w:smallCaps w:val="0"/>
      <w:strike w:val="0"/>
      <w:sz w:val="19"/>
      <w:szCs w:val="19"/>
      <w:u w:val="none"/>
      <w:shd w:val="clear" w:color="auto" w:fill="auto"/>
    </w:rPr>
  </w:style>
  <w:style w:type="character" w:customStyle="1" w:styleId="Tiu1">
    <w:name w:val="Tiêu đề #1_"/>
    <w:basedOn w:val="DefaultParagraphFont"/>
    <w:link w:val="Tiu10"/>
    <w:rPr>
      <w:rFonts w:ascii="Arial" w:eastAsia="Arial" w:hAnsi="Arial" w:cs="Arial"/>
      <w:b w:val="0"/>
      <w:bCs w:val="0"/>
      <w:i/>
      <w:iCs/>
      <w:smallCaps w:val="0"/>
      <w:strike w:val="0"/>
      <w:color w:val="2C5AA5"/>
      <w:sz w:val="24"/>
      <w:szCs w:val="24"/>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7"/>
      <w:szCs w:val="17"/>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A32633"/>
      <w:sz w:val="14"/>
      <w:szCs w:val="14"/>
      <w:u w:val="none"/>
      <w:shd w:val="clear" w:color="auto" w:fill="auto"/>
    </w:rPr>
  </w:style>
  <w:style w:type="character" w:customStyle="1" w:styleId="Tiu2">
    <w:name w:val="Tiêu đề #2_"/>
    <w:basedOn w:val="DefaultParagraphFont"/>
    <w:link w:val="Tiu20"/>
    <w:rPr>
      <w:rFonts w:ascii="Arial" w:eastAsia="Arial" w:hAnsi="Arial" w:cs="Arial"/>
      <w:b/>
      <w:bCs/>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22" w:lineRule="auto"/>
    </w:pPr>
    <w:rPr>
      <w:rFonts w:ascii="Arial" w:eastAsia="Arial" w:hAnsi="Arial" w:cs="Arial"/>
      <w:sz w:val="19"/>
      <w:szCs w:val="19"/>
    </w:rPr>
  </w:style>
  <w:style w:type="paragraph" w:customStyle="1" w:styleId="Tiu30">
    <w:name w:val="Tiêu đề #3"/>
    <w:basedOn w:val="Normal"/>
    <w:link w:val="Tiu3"/>
    <w:pPr>
      <w:jc w:val="center"/>
      <w:outlineLvl w:val="2"/>
    </w:pPr>
    <w:rPr>
      <w:rFonts w:ascii="Arial" w:eastAsia="Arial" w:hAnsi="Arial" w:cs="Arial"/>
      <w:sz w:val="22"/>
      <w:szCs w:val="22"/>
    </w:rPr>
  </w:style>
  <w:style w:type="paragraph" w:customStyle="1" w:styleId="Chthchbng0">
    <w:name w:val="Chú thích bảng"/>
    <w:basedOn w:val="Normal"/>
    <w:link w:val="Chthchbng"/>
    <w:rPr>
      <w:rFonts w:ascii="Arial" w:eastAsia="Arial" w:hAnsi="Arial" w:cs="Arial"/>
      <w:i/>
      <w:iCs/>
      <w:sz w:val="19"/>
      <w:szCs w:val="19"/>
    </w:rPr>
  </w:style>
  <w:style w:type="paragraph" w:customStyle="1" w:styleId="Khc0">
    <w:name w:val="Khác"/>
    <w:basedOn w:val="Normal"/>
    <w:link w:val="Khc"/>
    <w:pPr>
      <w:spacing w:line="322" w:lineRule="auto"/>
    </w:pPr>
    <w:rPr>
      <w:rFonts w:ascii="Arial" w:eastAsia="Arial" w:hAnsi="Arial" w:cs="Arial"/>
      <w:sz w:val="19"/>
      <w:szCs w:val="19"/>
    </w:rPr>
  </w:style>
  <w:style w:type="paragraph" w:customStyle="1" w:styleId="Tiu10">
    <w:name w:val="Tiêu đề #1"/>
    <w:basedOn w:val="Normal"/>
    <w:link w:val="Tiu1"/>
    <w:pPr>
      <w:jc w:val="center"/>
      <w:outlineLvl w:val="0"/>
    </w:pPr>
    <w:rPr>
      <w:rFonts w:ascii="Arial" w:eastAsia="Arial" w:hAnsi="Arial" w:cs="Arial"/>
      <w:i/>
      <w:iCs/>
      <w:color w:val="2C5AA5"/>
    </w:rPr>
  </w:style>
  <w:style w:type="paragraph" w:customStyle="1" w:styleId="Vnbnnidung20">
    <w:name w:val="Văn bản nội dung (2)"/>
    <w:basedOn w:val="Normal"/>
    <w:link w:val="Vnbnnidung2"/>
    <w:pPr>
      <w:ind w:firstLine="600"/>
    </w:pPr>
    <w:rPr>
      <w:rFonts w:ascii="Arial" w:eastAsia="Arial" w:hAnsi="Arial" w:cs="Arial"/>
      <w:sz w:val="17"/>
      <w:szCs w:val="17"/>
    </w:rPr>
  </w:style>
  <w:style w:type="paragraph" w:customStyle="1" w:styleId="Vnbnnidung30">
    <w:name w:val="Văn bản nội dung (3)"/>
    <w:basedOn w:val="Normal"/>
    <w:link w:val="Vnbnnidung3"/>
    <w:pPr>
      <w:jc w:val="right"/>
    </w:pPr>
    <w:rPr>
      <w:rFonts w:ascii="Times New Roman" w:eastAsia="Times New Roman" w:hAnsi="Times New Roman" w:cs="Times New Roman"/>
      <w:color w:val="A32633"/>
      <w:sz w:val="14"/>
      <w:szCs w:val="14"/>
    </w:rPr>
  </w:style>
  <w:style w:type="paragraph" w:customStyle="1" w:styleId="Tiu20">
    <w:name w:val="Tiêu đề #2"/>
    <w:basedOn w:val="Normal"/>
    <w:link w:val="Tiu2"/>
    <w:pPr>
      <w:jc w:val="center"/>
      <w:outlineLvl w:val="1"/>
    </w:pPr>
    <w:rPr>
      <w:rFonts w:ascii="Arial" w:eastAsia="Arial" w:hAnsi="Arial" w:cs="Arial"/>
      <w:b/>
      <w:bCs/>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95YZR3BQzwMIKZt1tLIcnb0uw==">CgMxLjAaJAoBMBIfCh0IB0IZCgVBcmlhbBIQQXJpYWwgVW5pY29kZSBNUxokCgExEh8KHQgHQhkKBUFyaWFsEhBBcmlhbCBVbmljb2RlIE1TGiQKATISHwodCAdCGQoFQXJpYWwSEEFyaWFsIFVuaWNvZGUgTVMaJAoBMxIfCh0IB0IZCgVBcmlhbBIQQXJpYWwgVW5pY29kZSBNUxokCgE0Eh8KHQgHQhkKBUFyaWFsEhBBcmlhbCBVbmljb2RlIE1TOAByITFoQmJJMkRaZDBQdEVWbHprRVF2VWZHN0RCcVl6YUFK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3626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Đinh Thị Chung TA45A</cp:lastModifiedBy>
  <cp:revision>3</cp:revision>
  <dcterms:created xsi:type="dcterms:W3CDTF">2024-05-07T07:26:00Z</dcterms:created>
  <dcterms:modified xsi:type="dcterms:W3CDTF">2024-05-08T02:22:00Z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975a26ebb82de00a98fe6aa19468e7f92f1353eaa0a1c6bfe6533f8f61ab6a71</vt:lpwstr>
  </property>
</Properties>
</file>