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41FB2" w14:textId="77777777" w:rsidR="001C6E7A" w:rsidRPr="003A23FF" w:rsidRDefault="003A23FF" w:rsidP="003602EE">
      <w:pPr>
        <w:pBdr>
          <w:top w:val="nil"/>
          <w:left w:val="nil"/>
          <w:bottom w:val="nil"/>
          <w:right w:val="nil"/>
          <w:between w:val="nil"/>
        </w:pBdr>
        <w:tabs>
          <w:tab w:val="left" w:pos="5097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VBC: Annual General Mandate 2024</w:t>
      </w:r>
    </w:p>
    <w:p w14:paraId="0530D07A" w14:textId="77777777" w:rsidR="001C6E7A" w:rsidRPr="003A23FF" w:rsidRDefault="003A23FF" w:rsidP="003602EE">
      <w:pPr>
        <w:pBdr>
          <w:top w:val="nil"/>
          <w:left w:val="nil"/>
          <w:bottom w:val="nil"/>
          <w:right w:val="nil"/>
          <w:between w:val="nil"/>
        </w:pBdr>
        <w:tabs>
          <w:tab w:val="left" w:pos="509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April 26, 2024, </w:t>
      </w:r>
      <w:proofErr w:type="spellStart"/>
      <w:r>
        <w:rPr>
          <w:rFonts w:ascii="Arial" w:hAnsi="Arial"/>
          <w:sz w:val="20"/>
        </w:rPr>
        <w:t>Vinh</w:t>
      </w:r>
      <w:proofErr w:type="spellEnd"/>
      <w:r>
        <w:rPr>
          <w:rFonts w:ascii="Arial" w:hAnsi="Arial"/>
          <w:sz w:val="20"/>
        </w:rPr>
        <w:t xml:space="preserve"> Plastic and Bags JSC announced General Mandate No. 351/NQ-DHDCD as follows:</w:t>
      </w:r>
    </w:p>
    <w:p w14:paraId="3CBA7F82" w14:textId="54833F06" w:rsidR="001C6E7A" w:rsidRPr="003A23FF" w:rsidRDefault="003A23FF" w:rsidP="003602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1. Approve the Financia</w:t>
      </w:r>
      <w:r w:rsidR="003602EE">
        <w:rPr>
          <w:rFonts w:ascii="Arial" w:hAnsi="Arial"/>
          <w:sz w:val="20"/>
        </w:rPr>
        <w:t>l Settlement Report 2023 and</w:t>
      </w:r>
      <w:r>
        <w:rPr>
          <w:rFonts w:ascii="Arial" w:hAnsi="Arial"/>
          <w:sz w:val="20"/>
        </w:rPr>
        <w:t xml:space="preserve"> plan on production, business and investment 2024:</w:t>
      </w:r>
    </w:p>
    <w:p w14:paraId="59BA77FD" w14:textId="77777777" w:rsidR="001C6E7A" w:rsidRPr="003A23FF" w:rsidRDefault="003A23FF" w:rsidP="003A23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Some achieved targets 2023: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3"/>
        <w:gridCol w:w="2079"/>
        <w:gridCol w:w="1486"/>
        <w:gridCol w:w="1352"/>
        <w:gridCol w:w="1491"/>
        <w:gridCol w:w="1955"/>
      </w:tblGrid>
      <w:tr w:rsidR="001C6E7A" w:rsidRPr="003A23FF" w14:paraId="3B05E915" w14:textId="77777777" w:rsidTr="003A23FF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A15FA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1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9F554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58BBC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Unit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E5449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 in 2023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435B6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1070"/>
                <w:tab w:val="left" w:pos="1498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Results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D3BA4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Comparison between results/plan</w:t>
            </w:r>
          </w:p>
        </w:tc>
      </w:tr>
      <w:tr w:rsidR="001C6E7A" w:rsidRPr="003A23FF" w14:paraId="06CCB621" w14:textId="77777777" w:rsidTr="003A23FF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BA7B0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CFBB4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Revenue and other income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11078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18A88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970,000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C736C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877,567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4E548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90.47%</w:t>
            </w:r>
          </w:p>
        </w:tc>
      </w:tr>
      <w:tr w:rsidR="001C6E7A" w:rsidRPr="003A23FF" w14:paraId="2E61C23F" w14:textId="77777777" w:rsidTr="003A23FF"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3C196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1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6A122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before tax: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0891E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90FB9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35,100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D2585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35,412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515CB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100.9%</w:t>
            </w:r>
          </w:p>
        </w:tc>
      </w:tr>
    </w:tbl>
    <w:p w14:paraId="7765B8E2" w14:textId="77777777" w:rsidR="001C6E7A" w:rsidRPr="003A23FF" w:rsidRDefault="003A23FF" w:rsidP="003602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Some fundamental targets and plan 2024:</w:t>
      </w:r>
    </w:p>
    <w:p w14:paraId="1472B9AE" w14:textId="77777777" w:rsidR="001C6E7A" w:rsidRPr="003A23FF" w:rsidRDefault="003A23FF" w:rsidP="003602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Revenue: VND 931,451 Million.</w:t>
      </w:r>
    </w:p>
    <w:p w14:paraId="1049FA31" w14:textId="77777777" w:rsidR="001C6E7A" w:rsidRPr="003A23FF" w:rsidRDefault="003A23FF" w:rsidP="003602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Profit before tax: VND 35,104 Million.</w:t>
      </w:r>
    </w:p>
    <w:p w14:paraId="010FE333" w14:textId="77777777" w:rsidR="001C6E7A" w:rsidRPr="003A23FF" w:rsidRDefault="003A23FF" w:rsidP="003602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expected dividend payment:  16%/charter capital.</w:t>
      </w:r>
    </w:p>
    <w:p w14:paraId="598BD43F" w14:textId="77777777" w:rsidR="001C6E7A" w:rsidRPr="003A23FF" w:rsidRDefault="003A23FF" w:rsidP="003602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total of investment estimate: VND 13,250 Million.</w:t>
      </w:r>
    </w:p>
    <w:p w14:paraId="645A61FB" w14:textId="77777777" w:rsidR="001C6E7A" w:rsidRPr="003A23FF" w:rsidRDefault="003A23FF" w:rsidP="003602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2. Approve the Results on the Board of </w:t>
      </w:r>
      <w:proofErr w:type="spellStart"/>
      <w:r>
        <w:rPr>
          <w:rFonts w:ascii="Arial" w:hAnsi="Arial"/>
          <w:sz w:val="20"/>
        </w:rPr>
        <w:t>Directors’s</w:t>
      </w:r>
      <w:proofErr w:type="spellEnd"/>
      <w:r>
        <w:rPr>
          <w:rFonts w:ascii="Arial" w:hAnsi="Arial"/>
          <w:sz w:val="20"/>
        </w:rPr>
        <w:t xml:space="preserve"> activities 2023 and plan 2024. </w:t>
      </w:r>
    </w:p>
    <w:p w14:paraId="7A6DD177" w14:textId="77777777" w:rsidR="001C6E7A" w:rsidRPr="003A23FF" w:rsidRDefault="003A23FF" w:rsidP="003602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3. Approve the Results on the Supervisory Board’s activities 2023 and plan 2024. </w:t>
      </w:r>
    </w:p>
    <w:p w14:paraId="6209C906" w14:textId="77777777" w:rsidR="001C6E7A" w:rsidRPr="003A23FF" w:rsidRDefault="003A23FF" w:rsidP="003602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4. Approve the Board of Directors, the Supervisory Board, the Executive General Manager’s settlement of remuneration 2023; remuneration settlement plan for the Board of Directors, the Supervisory Board, the Executive General Manager 2024:</w:t>
      </w:r>
    </w:p>
    <w:p w14:paraId="2C71E2B1" w14:textId="77777777" w:rsidR="001C6E7A" w:rsidRPr="003A23FF" w:rsidRDefault="003A23FF" w:rsidP="003602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as follows:</w:t>
      </w:r>
    </w:p>
    <w:p w14:paraId="28126F47" w14:textId="77777777" w:rsidR="001C6E7A" w:rsidRPr="003A23FF" w:rsidRDefault="003A23FF" w:rsidP="003602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settlement costs 2023:</w:t>
      </w:r>
    </w:p>
    <w:p w14:paraId="6643BB80" w14:textId="77777777" w:rsidR="001C6E7A" w:rsidRPr="003A23FF" w:rsidRDefault="003A23FF" w:rsidP="003602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52"/>
          <w:tab w:val="left" w:pos="575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Costs for the Board of Directors:</w:t>
      </w:r>
      <w:r>
        <w:rPr>
          <w:rFonts w:ascii="Arial" w:hAnsi="Arial"/>
          <w:sz w:val="20"/>
        </w:rPr>
        <w:tab/>
        <w:t>VND 643,150,385</w:t>
      </w:r>
    </w:p>
    <w:p w14:paraId="4F7D0CFE" w14:textId="77777777" w:rsidR="001C6E7A" w:rsidRPr="003A23FF" w:rsidRDefault="003A23FF" w:rsidP="003602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 which:</w:t>
      </w:r>
    </w:p>
    <w:p w14:paraId="0B6850E8" w14:textId="171F47E6" w:rsidR="001C6E7A" w:rsidRPr="003A23FF" w:rsidRDefault="003A23FF" w:rsidP="003602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Executive Chair of the </w:t>
      </w:r>
      <w:r w:rsidR="003602EE">
        <w:rPr>
          <w:rFonts w:ascii="Arial" w:hAnsi="Arial"/>
          <w:sz w:val="20"/>
        </w:rPr>
        <w:t xml:space="preserve">Board of </w:t>
      </w:r>
      <w:proofErr w:type="spellStart"/>
      <w:r w:rsidR="003602EE">
        <w:rPr>
          <w:rFonts w:ascii="Arial" w:hAnsi="Arial"/>
          <w:sz w:val="20"/>
        </w:rPr>
        <w:t>Directors’s</w:t>
      </w:r>
      <w:proofErr w:type="spellEnd"/>
      <w:r w:rsidR="003602EE">
        <w:rPr>
          <w:rFonts w:ascii="Arial" w:hAnsi="Arial"/>
          <w:sz w:val="20"/>
        </w:rPr>
        <w:t xml:space="preserve"> salary: </w:t>
      </w:r>
      <w:r w:rsidR="003602E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VND 393,550,385.</w:t>
      </w:r>
    </w:p>
    <w:p w14:paraId="3BF48596" w14:textId="56B06969" w:rsidR="001C6E7A" w:rsidRPr="003A23FF" w:rsidRDefault="003602EE" w:rsidP="003602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Board of Directors’ allowance: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A23FF">
        <w:rPr>
          <w:rFonts w:ascii="Arial" w:hAnsi="Arial"/>
          <w:sz w:val="20"/>
        </w:rPr>
        <w:t>VND 249,600,000.</w:t>
      </w:r>
    </w:p>
    <w:p w14:paraId="2EB592E6" w14:textId="77777777" w:rsidR="001C6E7A" w:rsidRPr="003A23FF" w:rsidRDefault="003A23FF" w:rsidP="003602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57"/>
          <w:tab w:val="left" w:pos="575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Costs for the Supervisory Board:</w:t>
      </w:r>
      <w:r>
        <w:rPr>
          <w:rFonts w:ascii="Arial" w:hAnsi="Arial"/>
          <w:sz w:val="20"/>
        </w:rPr>
        <w:tab/>
        <w:t>VND 388,474,154.</w:t>
      </w:r>
    </w:p>
    <w:p w14:paraId="06D15F5E" w14:textId="77777777" w:rsidR="001C6E7A" w:rsidRPr="003A23FF" w:rsidRDefault="003A23FF" w:rsidP="003602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 which:</w:t>
      </w:r>
    </w:p>
    <w:p w14:paraId="29445C83" w14:textId="262934C1" w:rsidR="001C6E7A" w:rsidRPr="003A23FF" w:rsidRDefault="003A23FF" w:rsidP="003602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Executive Chief of the</w:t>
      </w:r>
      <w:r w:rsidR="003602EE">
        <w:rPr>
          <w:rFonts w:ascii="Arial" w:hAnsi="Arial"/>
          <w:sz w:val="20"/>
        </w:rPr>
        <w:t xml:space="preserve"> Supervisory Board’s salary:</w:t>
      </w:r>
      <w:r w:rsidR="003602E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VND 299,266,154.</w:t>
      </w:r>
    </w:p>
    <w:p w14:paraId="3E9DCC61" w14:textId="536D0AF4" w:rsidR="001C6E7A" w:rsidRPr="003A23FF" w:rsidRDefault="003A23FF" w:rsidP="003602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S</w:t>
      </w:r>
      <w:r w:rsidR="003602EE">
        <w:rPr>
          <w:rFonts w:ascii="Arial" w:hAnsi="Arial"/>
          <w:sz w:val="20"/>
        </w:rPr>
        <w:t>upervisory Board’s allowance:</w:t>
      </w:r>
      <w:r w:rsidR="003602EE">
        <w:rPr>
          <w:rFonts w:ascii="Arial" w:hAnsi="Arial"/>
          <w:sz w:val="20"/>
        </w:rPr>
        <w:tab/>
      </w:r>
      <w:r w:rsidR="003602EE">
        <w:rPr>
          <w:rFonts w:ascii="Arial" w:hAnsi="Arial"/>
          <w:sz w:val="20"/>
        </w:rPr>
        <w:tab/>
      </w:r>
      <w:r w:rsidR="003602E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VND 89,208,000.</w:t>
      </w:r>
    </w:p>
    <w:p w14:paraId="46B68752" w14:textId="588E90DB" w:rsidR="001C6E7A" w:rsidRPr="003A23FF" w:rsidRDefault="003602EE" w:rsidP="003602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5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The Executive </w:t>
      </w:r>
      <w:r w:rsidR="003A23FF">
        <w:rPr>
          <w:rFonts w:ascii="Arial" w:hAnsi="Arial"/>
          <w:sz w:val="20"/>
        </w:rPr>
        <w:t>Mana</w:t>
      </w:r>
      <w:r>
        <w:rPr>
          <w:rFonts w:ascii="Arial" w:hAnsi="Arial"/>
          <w:sz w:val="20"/>
        </w:rPr>
        <w:t xml:space="preserve">ger’s salary: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VND 374,400,000</w:t>
      </w:r>
    </w:p>
    <w:p w14:paraId="637225B6" w14:textId="0C9D3643" w:rsidR="001C6E7A" w:rsidRPr="003A23FF" w:rsidRDefault="003602EE" w:rsidP="003602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operating</w:t>
      </w:r>
      <w:r w:rsidR="003A23FF">
        <w:rPr>
          <w:rFonts w:ascii="Arial" w:hAnsi="Arial"/>
          <w:sz w:val="20"/>
        </w:rPr>
        <w:t xml:space="preserve"> costs 2024:</w:t>
      </w:r>
    </w:p>
    <w:p w14:paraId="2D1D978D" w14:textId="77777777" w:rsidR="001C6E7A" w:rsidRPr="003A23FF" w:rsidRDefault="003A23FF" w:rsidP="003602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5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Board of Directors</w:t>
      </w:r>
    </w:p>
    <w:p w14:paraId="634BCD4B" w14:textId="1665401B" w:rsidR="001C6E7A" w:rsidRPr="003A23FF" w:rsidRDefault="003A23FF" w:rsidP="003602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Executive C</w:t>
      </w:r>
      <w:r w:rsidR="003602EE">
        <w:rPr>
          <w:rFonts w:ascii="Arial" w:hAnsi="Arial"/>
          <w:sz w:val="20"/>
        </w:rPr>
        <w:t>hair of the Board of Directors’</w:t>
      </w:r>
      <w:r>
        <w:rPr>
          <w:rFonts w:ascii="Arial" w:hAnsi="Arial"/>
          <w:sz w:val="20"/>
        </w:rPr>
        <w:t xml:space="preserve"> salary: VND 35,100,000 per month.</w:t>
      </w:r>
    </w:p>
    <w:p w14:paraId="6E0FA49D" w14:textId="7AEEC2B5" w:rsidR="001C6E7A" w:rsidRPr="003A23FF" w:rsidRDefault="003602EE" w:rsidP="003602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Board of Directors’</w:t>
      </w:r>
      <w:r w:rsidR="003A23FF">
        <w:rPr>
          <w:rFonts w:ascii="Arial" w:hAnsi="Arial"/>
          <w:sz w:val="20"/>
        </w:rPr>
        <w:t xml:space="preserve"> allowance: </w:t>
      </w:r>
      <w:r>
        <w:rPr>
          <w:rFonts w:ascii="Arial" w:hAnsi="Arial"/>
          <w:sz w:val="20"/>
        </w:rPr>
        <w:t>Entitled to</w:t>
      </w:r>
      <w:r w:rsidR="003A23FF">
        <w:rPr>
          <w:rFonts w:ascii="Arial" w:hAnsi="Arial"/>
          <w:sz w:val="20"/>
        </w:rPr>
        <w:t xml:space="preserve"> 15% per the realized salary of the Company’s </w:t>
      </w:r>
      <w:r>
        <w:rPr>
          <w:rFonts w:ascii="Arial" w:hAnsi="Arial"/>
          <w:sz w:val="20"/>
        </w:rPr>
        <w:t>Managing Director</w:t>
      </w:r>
      <w:r w:rsidR="003A23FF">
        <w:rPr>
          <w:rFonts w:ascii="Arial" w:hAnsi="Arial"/>
          <w:sz w:val="20"/>
        </w:rPr>
        <w:t xml:space="preserve">. </w:t>
      </w:r>
    </w:p>
    <w:p w14:paraId="692B0A3A" w14:textId="77777777" w:rsidR="001C6E7A" w:rsidRPr="003A23FF" w:rsidRDefault="003A23FF" w:rsidP="003602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Supervisory Board;</w:t>
      </w:r>
    </w:p>
    <w:p w14:paraId="33344231" w14:textId="77777777" w:rsidR="001C6E7A" w:rsidRPr="003A23FF" w:rsidRDefault="003A23FF" w:rsidP="003602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Executive Chief of the Supervisory Board’s salary: VND 24,780,000 per month.</w:t>
      </w:r>
    </w:p>
    <w:p w14:paraId="76DC1396" w14:textId="77777777" w:rsidR="001C6E7A" w:rsidRPr="003A23FF" w:rsidRDefault="003A23FF" w:rsidP="003602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Supervisory Board’s allowance: Members enjoy 15% per the realized salary of the Chief Accountant.  </w:t>
      </w:r>
    </w:p>
    <w:p w14:paraId="73E84DC3" w14:textId="70580C2E" w:rsidR="001C6E7A" w:rsidRPr="003A23FF" w:rsidRDefault="003A23FF" w:rsidP="003602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Executive Manager’s salary: VND 31,200,000 per month.</w:t>
      </w:r>
    </w:p>
    <w:p w14:paraId="31FC1DD0" w14:textId="77777777" w:rsidR="001C6E7A" w:rsidRPr="003A23FF" w:rsidRDefault="003A23FF" w:rsidP="003602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5. Approve the profit after tax distribution plan in 2023.</w:t>
      </w:r>
    </w:p>
    <w:p w14:paraId="301084AA" w14:textId="77777777" w:rsidR="001C6E7A" w:rsidRPr="003A23FF" w:rsidRDefault="003A23FF" w:rsidP="003602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as follows: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2"/>
        <w:gridCol w:w="5002"/>
        <w:gridCol w:w="3462"/>
      </w:tblGrid>
      <w:tr w:rsidR="001C6E7A" w:rsidRPr="003A23FF" w14:paraId="51D6A3D1" w14:textId="77777777" w:rsidTr="003A23FF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E27E8" w14:textId="77777777" w:rsidR="001C6E7A" w:rsidRPr="003A23FF" w:rsidRDefault="001C6E7A" w:rsidP="003A23FF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DA0F6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tax in 2023</w:t>
            </w:r>
          </w:p>
        </w:tc>
        <w:tc>
          <w:tcPr>
            <w:tcW w:w="1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4C141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28,069,439,843</w:t>
            </w:r>
          </w:p>
        </w:tc>
      </w:tr>
      <w:tr w:rsidR="001C6E7A" w:rsidRPr="003A23FF" w14:paraId="3C3D897C" w14:textId="77777777" w:rsidTr="003A23FF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77486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E0C39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Appropriation for funds</w:t>
            </w:r>
          </w:p>
        </w:tc>
        <w:tc>
          <w:tcPr>
            <w:tcW w:w="1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7D4D9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14,349,003,088</w:t>
            </w:r>
          </w:p>
        </w:tc>
      </w:tr>
      <w:tr w:rsidR="001C6E7A" w:rsidRPr="003A23FF" w14:paraId="39652A77" w14:textId="77777777" w:rsidTr="003A23FF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02F3E" w14:textId="77777777" w:rsidR="001C6E7A" w:rsidRPr="003A23FF" w:rsidRDefault="001C6E7A" w:rsidP="003A23FF">
            <w:pP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12528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 which:</w:t>
            </w:r>
          </w:p>
        </w:tc>
        <w:tc>
          <w:tcPr>
            <w:tcW w:w="1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B3BE1" w14:textId="77777777" w:rsidR="001C6E7A" w:rsidRPr="003A23FF" w:rsidRDefault="001C6E7A" w:rsidP="003A23FF">
            <w:pP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6E7A" w:rsidRPr="003A23FF" w14:paraId="5B59FAF1" w14:textId="77777777" w:rsidTr="003A23FF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AD74A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23DB4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Investment and Development Fund (30% of profit after tax)</w:t>
            </w:r>
          </w:p>
        </w:tc>
        <w:tc>
          <w:tcPr>
            <w:tcW w:w="1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5D3C4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8,420,831,953</w:t>
            </w:r>
          </w:p>
        </w:tc>
      </w:tr>
      <w:tr w:rsidR="001C6E7A" w:rsidRPr="003A23FF" w14:paraId="3846AA39" w14:textId="77777777" w:rsidTr="003A23FF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CC93E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11342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Bonus fund</w:t>
            </w:r>
          </w:p>
        </w:tc>
        <w:tc>
          <w:tcPr>
            <w:tcW w:w="1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CAC9C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1,717,755,159</w:t>
            </w:r>
          </w:p>
        </w:tc>
      </w:tr>
      <w:tr w:rsidR="001C6E7A" w:rsidRPr="003A23FF" w14:paraId="20540C22" w14:textId="77777777" w:rsidTr="003A23FF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D267A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9BAA9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Welfare Fund</w:t>
            </w:r>
          </w:p>
        </w:tc>
        <w:tc>
          <w:tcPr>
            <w:tcW w:w="1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AC2E8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4,210,415,976</w:t>
            </w:r>
          </w:p>
        </w:tc>
      </w:tr>
      <w:tr w:rsidR="001C6E7A" w:rsidRPr="003A23FF" w14:paraId="3189DDF8" w14:textId="77777777" w:rsidTr="003A23FF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243A0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931B4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dividend payment rate/charter capital</w:t>
            </w:r>
          </w:p>
        </w:tc>
        <w:tc>
          <w:tcPr>
            <w:tcW w:w="1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4CBC3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13,499,928,000</w:t>
            </w:r>
          </w:p>
        </w:tc>
      </w:tr>
      <w:tr w:rsidR="001C6E7A" w:rsidRPr="003A23FF" w14:paraId="244BC88C" w14:textId="77777777" w:rsidTr="003A23FF">
        <w:tc>
          <w:tcPr>
            <w:tcW w:w="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53CC0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85A6D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Bonus for The Executive Management Board (1,5 of the monthly salary)</w:t>
            </w:r>
          </w:p>
        </w:tc>
        <w:tc>
          <w:tcPr>
            <w:tcW w:w="1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20F24" w14:textId="77777777" w:rsidR="001C6E7A" w:rsidRPr="003A23FF" w:rsidRDefault="003A23FF" w:rsidP="003A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220,508,755</w:t>
            </w:r>
          </w:p>
        </w:tc>
      </w:tr>
    </w:tbl>
    <w:p w14:paraId="0A596F11" w14:textId="77777777" w:rsidR="001C6E7A" w:rsidRPr="003A23FF" w:rsidRDefault="003A23FF" w:rsidP="003602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6. Approve selecting an audit company to audit the Financial Statements 2023.</w:t>
      </w:r>
    </w:p>
    <w:p w14:paraId="2406883D" w14:textId="0F1C2FC7" w:rsidR="001C6E7A" w:rsidRPr="003A23FF" w:rsidRDefault="003A23FF" w:rsidP="003602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General Meeting unanimously delegated the Board of Directors, the Supervisory Board to select one of three following units auditing the Financial Statements 2024:</w:t>
      </w:r>
    </w:p>
    <w:p w14:paraId="29A55451" w14:textId="77777777" w:rsidR="001C6E7A" w:rsidRPr="003A23FF" w:rsidRDefault="003A23FF" w:rsidP="003602E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A&amp;C Auditing and Consulting Company Limited</w:t>
      </w:r>
    </w:p>
    <w:p w14:paraId="46A07E31" w14:textId="77777777" w:rsidR="001C6E7A" w:rsidRPr="003A23FF" w:rsidRDefault="003A23FF" w:rsidP="003602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5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Venue: 40 Giang Vo, Dong Da District, Ha </w:t>
      </w:r>
      <w:proofErr w:type="spellStart"/>
      <w:r>
        <w:rPr>
          <w:rFonts w:ascii="Arial" w:hAnsi="Arial"/>
          <w:sz w:val="20"/>
        </w:rPr>
        <w:t>Noi</w:t>
      </w:r>
      <w:proofErr w:type="spellEnd"/>
      <w:r>
        <w:rPr>
          <w:rFonts w:ascii="Arial" w:hAnsi="Arial"/>
          <w:sz w:val="20"/>
        </w:rPr>
        <w:t xml:space="preserve">. </w:t>
      </w:r>
    </w:p>
    <w:p w14:paraId="161604AE" w14:textId="175ABD48" w:rsidR="001C6E7A" w:rsidRPr="003A23FF" w:rsidRDefault="003A23FF" w:rsidP="003602E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Auditing &amp; </w:t>
      </w:r>
      <w:proofErr w:type="spellStart"/>
      <w:r>
        <w:rPr>
          <w:rFonts w:ascii="Arial" w:hAnsi="Arial"/>
          <w:sz w:val="20"/>
        </w:rPr>
        <w:t>Informatic</w:t>
      </w:r>
      <w:proofErr w:type="spellEnd"/>
      <w:r>
        <w:rPr>
          <w:rFonts w:ascii="Arial" w:hAnsi="Arial"/>
          <w:sz w:val="20"/>
        </w:rPr>
        <w:t xml:space="preserve"> </w:t>
      </w:r>
      <w:r w:rsidR="003602EE">
        <w:rPr>
          <w:rFonts w:ascii="Arial" w:hAnsi="Arial"/>
          <w:sz w:val="20"/>
        </w:rPr>
        <w:t>Services Company Limited -</w:t>
      </w:r>
      <w:r>
        <w:rPr>
          <w:rFonts w:ascii="Arial" w:hAnsi="Arial"/>
          <w:sz w:val="20"/>
        </w:rPr>
        <w:t xml:space="preserve"> Ha </w:t>
      </w:r>
      <w:proofErr w:type="spellStart"/>
      <w:r>
        <w:rPr>
          <w:rFonts w:ascii="Arial" w:hAnsi="Arial"/>
          <w:sz w:val="20"/>
        </w:rPr>
        <w:t>Noi</w:t>
      </w:r>
      <w:proofErr w:type="spellEnd"/>
      <w:r>
        <w:rPr>
          <w:rFonts w:ascii="Arial" w:hAnsi="Arial"/>
          <w:sz w:val="20"/>
        </w:rPr>
        <w:t xml:space="preserve"> branch:</w:t>
      </w:r>
    </w:p>
    <w:p w14:paraId="65BE49BF" w14:textId="77777777" w:rsidR="001C6E7A" w:rsidRPr="003A23FF" w:rsidRDefault="003A23FF" w:rsidP="003602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5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Venue: Floor 24, VIMECO Building, lot E9, Pham Hung Street, Ha </w:t>
      </w:r>
      <w:proofErr w:type="spellStart"/>
      <w:r>
        <w:rPr>
          <w:rFonts w:ascii="Arial" w:hAnsi="Arial"/>
          <w:sz w:val="20"/>
        </w:rPr>
        <w:t>Noi</w:t>
      </w:r>
      <w:proofErr w:type="spellEnd"/>
      <w:r>
        <w:rPr>
          <w:rFonts w:ascii="Arial" w:hAnsi="Arial"/>
          <w:sz w:val="20"/>
        </w:rPr>
        <w:t xml:space="preserve"> City. </w:t>
      </w:r>
    </w:p>
    <w:p w14:paraId="5020099D" w14:textId="77777777" w:rsidR="001C6E7A" w:rsidRPr="003A23FF" w:rsidRDefault="003A23FF" w:rsidP="003602E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International Auditing Company Limited.</w:t>
      </w:r>
    </w:p>
    <w:p w14:paraId="781DB515" w14:textId="77777777" w:rsidR="001C6E7A" w:rsidRPr="003A23FF" w:rsidRDefault="003A23FF" w:rsidP="003602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Venue: Floor 15, Center </w:t>
      </w:r>
      <w:proofErr w:type="spellStart"/>
      <w:proofErr w:type="gramStart"/>
      <w:r>
        <w:rPr>
          <w:rFonts w:ascii="Arial" w:hAnsi="Arial"/>
          <w:sz w:val="20"/>
        </w:rPr>
        <w:t>Buiding</w:t>
      </w:r>
      <w:proofErr w:type="spellEnd"/>
      <w:r>
        <w:rPr>
          <w:rFonts w:ascii="Arial" w:hAnsi="Arial"/>
          <w:sz w:val="20"/>
        </w:rPr>
        <w:t xml:space="preserve">  -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Hapulico</w:t>
      </w:r>
      <w:proofErr w:type="spellEnd"/>
      <w:r>
        <w:rPr>
          <w:rFonts w:ascii="Arial" w:hAnsi="Arial"/>
          <w:sz w:val="20"/>
        </w:rPr>
        <w:t xml:space="preserve"> Complex, no. 1 Nguyen </w:t>
      </w:r>
      <w:proofErr w:type="spellStart"/>
      <w:r>
        <w:rPr>
          <w:rFonts w:ascii="Arial" w:hAnsi="Arial"/>
          <w:sz w:val="20"/>
        </w:rPr>
        <w:t>Huy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Tuong</w:t>
      </w:r>
      <w:proofErr w:type="spellEnd"/>
      <w:r>
        <w:rPr>
          <w:rFonts w:ascii="Arial" w:hAnsi="Arial"/>
          <w:sz w:val="20"/>
        </w:rPr>
        <w:t xml:space="preserve">, Thanh Xuan </w:t>
      </w:r>
      <w:proofErr w:type="spellStart"/>
      <w:r>
        <w:rPr>
          <w:rFonts w:ascii="Arial" w:hAnsi="Arial"/>
          <w:sz w:val="20"/>
        </w:rPr>
        <w:t>Trung</w:t>
      </w:r>
      <w:proofErr w:type="spellEnd"/>
      <w:r>
        <w:rPr>
          <w:rFonts w:ascii="Arial" w:hAnsi="Arial"/>
          <w:sz w:val="20"/>
        </w:rPr>
        <w:t xml:space="preserve"> Ward, Thanh Xuan District, Ha </w:t>
      </w:r>
      <w:proofErr w:type="spellStart"/>
      <w:r>
        <w:rPr>
          <w:rFonts w:ascii="Arial" w:hAnsi="Arial"/>
          <w:sz w:val="20"/>
        </w:rPr>
        <w:t>Noi</w:t>
      </w:r>
      <w:proofErr w:type="spellEnd"/>
      <w:r>
        <w:rPr>
          <w:rFonts w:ascii="Arial" w:hAnsi="Arial"/>
          <w:sz w:val="20"/>
        </w:rPr>
        <w:t xml:space="preserve"> City (</w:t>
      </w:r>
      <w:proofErr w:type="spellStart"/>
      <w:r>
        <w:rPr>
          <w:rFonts w:ascii="Arial" w:hAnsi="Arial"/>
          <w:sz w:val="20"/>
        </w:rPr>
        <w:t>Nghe</w:t>
      </w:r>
      <w:proofErr w:type="spellEnd"/>
      <w:r>
        <w:rPr>
          <w:rFonts w:ascii="Arial" w:hAnsi="Arial"/>
          <w:sz w:val="20"/>
        </w:rPr>
        <w:t xml:space="preserve"> An branch): Floor 17, </w:t>
      </w:r>
      <w:proofErr w:type="spellStart"/>
      <w:r>
        <w:rPr>
          <w:rFonts w:ascii="Arial" w:hAnsi="Arial"/>
          <w:sz w:val="20"/>
        </w:rPr>
        <w:t>Nghe</w:t>
      </w:r>
      <w:proofErr w:type="spellEnd"/>
      <w:r>
        <w:rPr>
          <w:rFonts w:ascii="Arial" w:hAnsi="Arial"/>
          <w:sz w:val="20"/>
        </w:rPr>
        <w:t xml:space="preserve"> An Petro Building, No. 7, Quang </w:t>
      </w:r>
      <w:proofErr w:type="spellStart"/>
      <w:r>
        <w:rPr>
          <w:rFonts w:ascii="Arial" w:hAnsi="Arial"/>
          <w:sz w:val="20"/>
        </w:rPr>
        <w:t>Trung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Vinh</w:t>
      </w:r>
      <w:proofErr w:type="spellEnd"/>
      <w:r>
        <w:rPr>
          <w:rFonts w:ascii="Arial" w:hAnsi="Arial"/>
          <w:sz w:val="20"/>
        </w:rPr>
        <w:t xml:space="preserve"> City, </w:t>
      </w:r>
      <w:proofErr w:type="spellStart"/>
      <w:r>
        <w:rPr>
          <w:rFonts w:ascii="Arial" w:hAnsi="Arial"/>
          <w:sz w:val="20"/>
        </w:rPr>
        <w:t>Nghe</w:t>
      </w:r>
      <w:proofErr w:type="spellEnd"/>
      <w:r>
        <w:rPr>
          <w:rFonts w:ascii="Arial" w:hAnsi="Arial"/>
          <w:sz w:val="20"/>
        </w:rPr>
        <w:t xml:space="preserve"> An).</w:t>
      </w:r>
    </w:p>
    <w:p w14:paraId="26B8D9CC" w14:textId="77777777" w:rsidR="001C6E7A" w:rsidRPr="003A23FF" w:rsidRDefault="003A23FF" w:rsidP="003602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7. Terms of enforcement:</w:t>
      </w:r>
    </w:p>
    <w:p w14:paraId="1C8821A2" w14:textId="6462081C" w:rsidR="001C6E7A" w:rsidRPr="003A23FF" w:rsidRDefault="00B24318" w:rsidP="003602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</w:t>
      </w:r>
      <w:r w:rsidR="003A23FF">
        <w:rPr>
          <w:rFonts w:ascii="Arial" w:hAnsi="Arial"/>
          <w:sz w:val="20"/>
        </w:rPr>
        <w:t>Annual General Meeting 2024 unanimously del</w:t>
      </w:r>
      <w:r w:rsidR="003602EE">
        <w:rPr>
          <w:rFonts w:ascii="Arial" w:hAnsi="Arial"/>
          <w:sz w:val="20"/>
        </w:rPr>
        <w:t>egated the Board of Directors, Supervisory Board and Managing Director</w:t>
      </w:r>
      <w:r w:rsidR="003A23FF">
        <w:rPr>
          <w:rFonts w:ascii="Arial" w:hAnsi="Arial"/>
          <w:sz w:val="20"/>
        </w:rPr>
        <w:t xml:space="preserve"> to take responsibility for organizing, commanding the Company implementing this Mandate’s contents </w:t>
      </w:r>
      <w:r w:rsidR="003602EE">
        <w:rPr>
          <w:rFonts w:ascii="Arial" w:hAnsi="Arial"/>
          <w:sz w:val="20"/>
        </w:rPr>
        <w:t>under applicable law</w:t>
      </w:r>
      <w:r w:rsidR="003A23FF">
        <w:rPr>
          <w:rFonts w:ascii="Arial" w:hAnsi="Arial"/>
          <w:sz w:val="20"/>
        </w:rPr>
        <w:t xml:space="preserve">s and the Company’s Charters. </w:t>
      </w:r>
    </w:p>
    <w:p w14:paraId="7A170C5E" w14:textId="11F00C40" w:rsidR="001C6E7A" w:rsidRPr="003A23FF" w:rsidRDefault="003A23FF" w:rsidP="003602EE">
      <w:pPr>
        <w:pBdr>
          <w:top w:val="nil"/>
          <w:left w:val="nil"/>
          <w:bottom w:val="nil"/>
          <w:right w:val="nil"/>
          <w:between w:val="nil"/>
        </w:pBdr>
        <w:tabs>
          <w:tab w:val="left" w:pos="477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</w:t>
      </w:r>
      <w:r w:rsidR="00B24318">
        <w:rPr>
          <w:rFonts w:ascii="Arial" w:hAnsi="Arial"/>
          <w:sz w:val="20"/>
        </w:rPr>
        <w:t xml:space="preserve">General </w:t>
      </w:r>
      <w:r>
        <w:rPr>
          <w:rFonts w:ascii="Arial" w:hAnsi="Arial"/>
          <w:sz w:val="20"/>
        </w:rPr>
        <w:t xml:space="preserve">Mandate was approved by the Annual General Meeting </w:t>
      </w:r>
      <w:r w:rsidR="003602EE">
        <w:rPr>
          <w:rFonts w:ascii="Arial" w:hAnsi="Arial"/>
          <w:sz w:val="20"/>
        </w:rPr>
        <w:t>2024 at 5pm</w:t>
      </w:r>
      <w:bookmarkStart w:id="0" w:name="_GoBack"/>
      <w:bookmarkEnd w:id="0"/>
      <w:r>
        <w:rPr>
          <w:rFonts w:ascii="Arial" w:hAnsi="Arial"/>
          <w:sz w:val="20"/>
        </w:rPr>
        <w:t xml:space="preserve">, April 26, 2024. </w:t>
      </w:r>
    </w:p>
    <w:sectPr w:rsidR="001C6E7A" w:rsidRPr="003A23FF" w:rsidSect="003A23FF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DF0"/>
    <w:multiLevelType w:val="multilevel"/>
    <w:tmpl w:val="8E04BD4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7D5BCD"/>
    <w:multiLevelType w:val="multilevel"/>
    <w:tmpl w:val="8BE44A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F0C743D"/>
    <w:multiLevelType w:val="multilevel"/>
    <w:tmpl w:val="0444F8D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8125AF"/>
    <w:multiLevelType w:val="multilevel"/>
    <w:tmpl w:val="02605F8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E5046F"/>
    <w:multiLevelType w:val="multilevel"/>
    <w:tmpl w:val="C750E9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B033AC8"/>
    <w:multiLevelType w:val="multilevel"/>
    <w:tmpl w:val="F558C5D8"/>
    <w:lvl w:ilvl="0">
      <w:start w:val="1"/>
      <w:numFmt w:val="bullet"/>
      <w:lvlText w:val="+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D025898"/>
    <w:multiLevelType w:val="multilevel"/>
    <w:tmpl w:val="4F806F0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59761B"/>
    <w:multiLevelType w:val="multilevel"/>
    <w:tmpl w:val="28989B4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7A"/>
    <w:rsid w:val="001C6E7A"/>
    <w:rsid w:val="003602EE"/>
    <w:rsid w:val="003A23FF"/>
    <w:rsid w:val="00B2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371FE"/>
  <w15:docId w15:val="{99742F93-6447-475C-A623-FA160F85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DC757B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spacing w:line="290" w:lineRule="auto"/>
      <w:ind w:firstLine="6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pPr>
      <w:ind w:firstLine="35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ind w:left="2980"/>
    </w:pPr>
    <w:rPr>
      <w:rFonts w:ascii="Arial" w:eastAsia="Arial" w:hAnsi="Arial" w:cs="Arial"/>
      <w:color w:val="DC757B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i/>
      <w:iCs/>
      <w:sz w:val="13"/>
      <w:szCs w:val="13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IJF3F3100mfxTa57II4DF8JVnQ==">CgMxLjA4AHIhMXdRU3M3TUdlNUVDdWFQTkdBanhRd0Z5a0Z6dHJMMmJy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2024-05-07T03:39:00Z</dcterms:created>
  <dcterms:modified xsi:type="dcterms:W3CDTF">2024-05-07T03:39:00Z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01a92e013cd59765747a9f394ee01c6f8d5d749a8abf56999e97fea65ddbbd0c</vt:lpwstr>
  </property>
</Properties>
</file>