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470B7" w14:textId="77777777" w:rsidR="00C85599" w:rsidRDefault="00C85599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b/>
          <w:color w:val="010000"/>
          <w:sz w:val="20"/>
          <w:szCs w:val="20"/>
        </w:rPr>
      </w:pPr>
      <w:bookmarkStart w:id="0" w:name="_heading=h.gjdgxs"/>
      <w:bookmarkEnd w:id="0"/>
      <w:r>
        <w:rPr>
          <w:rFonts w:ascii="Arial" w:hAnsi="Arial"/>
          <w:b/>
          <w:color w:val="010000"/>
          <w:sz w:val="20"/>
        </w:rPr>
        <w:t>VCX: Annual General Mandate 2024</w:t>
      </w:r>
    </w:p>
    <w:p w14:paraId="70E6688F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On April 29, 2024, Yen Binh Cement Joint Stock Company announced General Mandate No. 02/2024/NQ-DHDCD as follows:</w:t>
      </w:r>
    </w:p>
    <w:p w14:paraId="52463314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 xml:space="preserve">‎‎Article 1. Approve the Report of the Board of Managers on production and business results in 2023 and the plan for 2024, with the following </w:t>
      </w:r>
      <w:r>
        <w:rPr>
          <w:rFonts w:ascii="Arial" w:hAnsi="Arial"/>
          <w:color w:val="010000"/>
          <w:sz w:val="20"/>
        </w:rPr>
        <w:t xml:space="preserve">major targets: </w:t>
      </w: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712"/>
        <w:gridCol w:w="1138"/>
        <w:gridCol w:w="1322"/>
        <w:gridCol w:w="1239"/>
        <w:gridCol w:w="1143"/>
        <w:gridCol w:w="1463"/>
      </w:tblGrid>
      <w:tr w:rsidR="000222E6" w:rsidRPr="00C85599" w14:paraId="078F8D13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226D4A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Targets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C7A6B8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Unit</w:t>
            </w: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53BDD5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Plan 2023</w:t>
            </w: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A657D2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Results 2023</w:t>
            </w: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83B2AF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Results/Plan (%)</w:t>
            </w: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6AC18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Plan 2024</w:t>
            </w:r>
          </w:p>
        </w:tc>
      </w:tr>
      <w:tr w:rsidR="000222E6" w:rsidRPr="00C85599" w14:paraId="21991284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923BF63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 Production output: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71F641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010BC8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2DCE46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4F2C5E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66034A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0222E6" w:rsidRPr="00C85599" w14:paraId="79779565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8680342" w14:textId="77777777" w:rsidR="000222E6" w:rsidRPr="00C85599" w:rsidRDefault="00455E2F" w:rsidP="00C8559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 xml:space="preserve"> Cement 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951C263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Tons</w:t>
            </w: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09B076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940,000</w:t>
            </w: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67830DF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825,767</w:t>
            </w: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BF799E0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87.85</w:t>
            </w: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D70F6C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950,000</w:t>
            </w:r>
          </w:p>
        </w:tc>
      </w:tr>
      <w:tr w:rsidR="000222E6" w:rsidRPr="00C85599" w14:paraId="1AE81C80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BAB4AEF" w14:textId="77777777" w:rsidR="000222E6" w:rsidRPr="00C85599" w:rsidRDefault="00455E2F" w:rsidP="00C8559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 xml:space="preserve"> Clinker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66ADC7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Tons</w:t>
            </w: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F25AE57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850,000</w:t>
            </w: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39E33F8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550,338</w:t>
            </w: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73C8E61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64.75</w:t>
            </w: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92EFE8B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850,000</w:t>
            </w:r>
          </w:p>
        </w:tc>
      </w:tr>
      <w:tr w:rsidR="000222E6" w:rsidRPr="00C85599" w14:paraId="38449166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9A13AB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2 Consumption output: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F177AB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8887DA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D0A0E5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B93DD8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865A57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0222E6" w:rsidRPr="00C85599" w14:paraId="476023E9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8ACF12" w14:textId="77777777" w:rsidR="000222E6" w:rsidRPr="00C85599" w:rsidRDefault="00455E2F" w:rsidP="00C8559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 xml:space="preserve"> Cement, Clinker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D36B74A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Tons</w:t>
            </w: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224BE0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1,040,000</w:t>
            </w: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C5C0D7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848,376</w:t>
            </w: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83EA9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81.57</w:t>
            </w: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9CBB80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1,050,000</w:t>
            </w:r>
          </w:p>
        </w:tc>
      </w:tr>
      <w:tr w:rsidR="000222E6" w:rsidRPr="00C85599" w14:paraId="4C102408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4E780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3 Revenue before tax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35FDBAB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Billion VND</w:t>
            </w: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F7B0642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910.4</w:t>
            </w: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AC1BB2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797.3</w:t>
            </w: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AF501C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87.58</w:t>
            </w: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A110D8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912</w:t>
            </w:r>
          </w:p>
        </w:tc>
      </w:tr>
      <w:tr w:rsidR="000222E6" w:rsidRPr="00C85599" w14:paraId="54F92A6F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432086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 xml:space="preserve">4 Depreciation 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4437173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Billion VND</w:t>
            </w: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64082B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52.3</w:t>
            </w: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A9A26B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52.6</w:t>
            </w: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CC5D86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100.57</w:t>
            </w: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2CC11C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52.4</w:t>
            </w:r>
          </w:p>
        </w:tc>
      </w:tr>
      <w:tr w:rsidR="000222E6" w:rsidRPr="00C85599" w14:paraId="44B24D31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DDC74D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 xml:space="preserve">5 Expenses of major repairs 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833D327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Billion VND</w:t>
            </w: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385483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39.6</w:t>
            </w: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0EFB2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40.1</w:t>
            </w: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4C61802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101.26</w:t>
            </w: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93BC7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26.4</w:t>
            </w:r>
          </w:p>
        </w:tc>
      </w:tr>
      <w:tr w:rsidR="000222E6" w:rsidRPr="00C85599" w14:paraId="2F20A79B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748257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 xml:space="preserve">6 </w:t>
            </w:r>
            <w:r>
              <w:rPr>
                <w:rFonts w:ascii="Arial" w:hAnsi="Arial"/>
                <w:color w:val="010000"/>
                <w:sz w:val="20"/>
              </w:rPr>
              <w:t xml:space="preserve">Repayment of investment loan 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D2502C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Billion VND</w:t>
            </w: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05A9130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2.2</w:t>
            </w: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8092D0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2.2</w:t>
            </w: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88D0E20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100.00</w:t>
            </w: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663D64A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2.2</w:t>
            </w:r>
          </w:p>
        </w:tc>
      </w:tr>
      <w:tr w:rsidR="000222E6" w:rsidRPr="00C85599" w14:paraId="70386DE2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CAAD2B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 xml:space="preserve">7 Repayment of investment interest 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4620585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Billion VND</w:t>
            </w: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7A69F3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0.8</w:t>
            </w: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63F76AD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0.75</w:t>
            </w: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B8BE2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93.75</w:t>
            </w: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6419A3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0.4</w:t>
            </w:r>
          </w:p>
        </w:tc>
      </w:tr>
      <w:tr w:rsidR="000222E6" w:rsidRPr="00C85599" w14:paraId="008AD042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DC77FB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8. Payable to the State budget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7F39BD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Billion VND</w:t>
            </w: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AE8822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30</w:t>
            </w: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A951F2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19.4</w:t>
            </w: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3B9A9B4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64.67</w:t>
            </w: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B00A5F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25</w:t>
            </w:r>
          </w:p>
        </w:tc>
      </w:tr>
      <w:tr w:rsidR="000222E6" w:rsidRPr="00C85599" w14:paraId="3824AE9B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641D1C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9 Profit after tax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3BDB0A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Billion VND</w:t>
            </w: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F2F2180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20.1</w:t>
            </w: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25311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7.5</w:t>
            </w: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D960D4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37.31</w:t>
            </w: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646933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20.7</w:t>
            </w:r>
          </w:p>
        </w:tc>
      </w:tr>
      <w:tr w:rsidR="000222E6" w:rsidRPr="00C85599" w14:paraId="022BCB74" w14:textId="77777777" w:rsidTr="00C85599">
        <w:tc>
          <w:tcPr>
            <w:tcW w:w="1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24B4B6B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 xml:space="preserve">10 </w:t>
            </w:r>
            <w:r>
              <w:rPr>
                <w:rFonts w:ascii="Arial" w:hAnsi="Arial"/>
                <w:color w:val="010000"/>
                <w:sz w:val="20"/>
              </w:rPr>
              <w:t>Average income</w:t>
            </w:r>
          </w:p>
        </w:tc>
        <w:tc>
          <w:tcPr>
            <w:tcW w:w="65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994347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Million VND</w:t>
            </w:r>
          </w:p>
        </w:tc>
        <w:tc>
          <w:tcPr>
            <w:tcW w:w="75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B6DAEE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10</w:t>
            </w:r>
          </w:p>
        </w:tc>
        <w:tc>
          <w:tcPr>
            <w:tcW w:w="7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F991AA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9</w:t>
            </w:r>
          </w:p>
        </w:tc>
        <w:tc>
          <w:tcPr>
            <w:tcW w:w="5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55D8E4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90</w:t>
            </w:r>
          </w:p>
        </w:tc>
        <w:tc>
          <w:tcPr>
            <w:tcW w:w="83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6E43CC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10</w:t>
            </w:r>
          </w:p>
        </w:tc>
      </w:tr>
    </w:tbl>
    <w:p w14:paraId="6528E04E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 xml:space="preserve">‎‎Article 2. </w:t>
      </w:r>
      <w:r>
        <w:rPr>
          <w:rFonts w:ascii="Arial" w:hAnsi="Arial"/>
          <w:color w:val="010000"/>
          <w:sz w:val="20"/>
        </w:rPr>
        <w:t>Approve the Report of the Board of Directors on the operational results of the Board of Directors in 2023 and the plan for the 2024- 2029 term</w:t>
      </w:r>
    </w:p>
    <w:p w14:paraId="6C31EEE5" w14:textId="3B94BCA0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 xml:space="preserve">‎‎Article 3. Approve the Financial statements 2023 audited by AASC Auditing Firm </w:t>
      </w:r>
      <w:r>
        <w:rPr>
          <w:rFonts w:ascii="Arial" w:hAnsi="Arial"/>
          <w:color w:val="010000"/>
          <w:sz w:val="20"/>
        </w:rPr>
        <w:t>Company Limited.</w:t>
      </w:r>
    </w:p>
    <w:p w14:paraId="52A6C0E0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‎‎Article 4. A</w:t>
      </w:r>
      <w:r>
        <w:rPr>
          <w:rFonts w:ascii="Arial" w:hAnsi="Arial"/>
          <w:color w:val="010000"/>
          <w:sz w:val="20"/>
        </w:rPr>
        <w:t>pprove the Plan on profit distribution 2023 as follows:</w:t>
      </w:r>
    </w:p>
    <w:p w14:paraId="62422A9D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According to the Company’s Financial Statements 2023:</w:t>
      </w:r>
    </w:p>
    <w:p w14:paraId="1F69AFB0" w14:textId="77777777" w:rsidR="000222E6" w:rsidRPr="00C85599" w:rsidRDefault="00455E2F" w:rsidP="00C855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349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Revenue from goods sales: VND 797,3 billion;</w:t>
      </w:r>
    </w:p>
    <w:p w14:paraId="3485C6EF" w14:textId="77777777" w:rsidR="000222E6" w:rsidRPr="00C85599" w:rsidRDefault="00455E2F" w:rsidP="00C855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349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Total profit before tax: VND 10,8 billion;</w:t>
      </w:r>
    </w:p>
    <w:p w14:paraId="0B2D8A0E" w14:textId="77777777" w:rsidR="000222E6" w:rsidRPr="00C85599" w:rsidRDefault="00455E2F" w:rsidP="00C855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Profit after tax VND 7,5 billion;</w:t>
      </w:r>
    </w:p>
    <w:p w14:paraId="6D15FCA5" w14:textId="77777777" w:rsidR="000222E6" w:rsidRPr="00C85599" w:rsidRDefault="00455E2F" w:rsidP="00C855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349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Accumulated loss from 20</w:t>
      </w:r>
      <w:r>
        <w:rPr>
          <w:rFonts w:ascii="Arial" w:hAnsi="Arial"/>
          <w:color w:val="010000"/>
          <w:sz w:val="20"/>
        </w:rPr>
        <w:t>08 to 2023: VND -48.6 billion.</w:t>
      </w:r>
    </w:p>
    <w:p w14:paraId="7F8A43AB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lastRenderedPageBreak/>
        <w:t>Up to the present, the Company is still in the period of compensating previous losses, so following the provisions of Article 135 - Law on Enterprises 2020, all of the Company's 2023 profit after tax will be used to make up for previous losses.</w:t>
      </w:r>
    </w:p>
    <w:p w14:paraId="7652EF87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‎‎Article 5</w:t>
      </w:r>
      <w:r>
        <w:rPr>
          <w:rFonts w:ascii="Arial" w:hAnsi="Arial"/>
          <w:color w:val="010000"/>
          <w:sz w:val="20"/>
        </w:rPr>
        <w:t>. Approve the remuneration for the Board of Directors and the Supervisory Board in 2023 and the plan for 2024.</w:t>
      </w:r>
    </w:p>
    <w:p w14:paraId="66BC0A59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Remuneration for the Board of Directors and the Supervisory Board in 2023 As the production and sale volumes in 2023 did not meet expectations, t</w:t>
      </w:r>
      <w:r>
        <w:rPr>
          <w:rFonts w:ascii="Arial" w:hAnsi="Arial"/>
          <w:color w:val="010000"/>
          <w:sz w:val="20"/>
        </w:rPr>
        <w:t>here will be no remuneration granted to the Board of Directors and the Supervisory Board in 2023.</w:t>
      </w:r>
    </w:p>
    <w:p w14:paraId="56E5DF5B" w14:textId="77777777" w:rsidR="000222E6" w:rsidRPr="00C85599" w:rsidRDefault="00455E2F" w:rsidP="00C855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Remuneration for the Board of Directors and the Supervisory Board in 2024 Will be decided based on the production and business results in 2024 of the Company.</w:t>
      </w:r>
      <w:r>
        <w:rPr>
          <w:rFonts w:ascii="Arial" w:hAnsi="Arial"/>
          <w:color w:val="010000"/>
          <w:sz w:val="20"/>
        </w:rPr>
        <w:t xml:space="preserve"> </w:t>
      </w:r>
    </w:p>
    <w:p w14:paraId="4BB69CE5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‎‎Article 6. Approve transactions between the Company and related organization under the authority of the General Meeting of Shareholders.</w:t>
      </w:r>
    </w:p>
    <w:p w14:paraId="37ADDA2E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‎‎Article 7. Approve the Report of the Supervisory Board on the operational results in 2023 and the plan for the 20</w:t>
      </w:r>
      <w:r>
        <w:rPr>
          <w:rFonts w:ascii="Arial" w:hAnsi="Arial"/>
          <w:color w:val="010000"/>
          <w:sz w:val="20"/>
        </w:rPr>
        <w:t>24- 2029 term.</w:t>
      </w:r>
    </w:p>
    <w:p w14:paraId="2397DA26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‎‎Article 8. Approve the Proposal of the Supervisory Board on selecting the audit company to review the Semi-annual Financial Statements and audit the Financial Statements 2024.</w:t>
      </w:r>
    </w:p>
    <w:p w14:paraId="1398A991" w14:textId="77777777" w:rsidR="000222E6" w:rsidRPr="00C85599" w:rsidRDefault="00455E2F" w:rsidP="00C855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 xml:space="preserve"> </w:t>
      </w:r>
      <w:r>
        <w:rPr>
          <w:rFonts w:ascii="Arial" w:hAnsi="Arial"/>
          <w:color w:val="010000"/>
          <w:sz w:val="20"/>
        </w:rPr>
        <w:t>Approve the list of audit companies to review the Semi-annual Financial Statements and audit the Financial Statements 2024 of the Company, including:</w:t>
      </w:r>
    </w:p>
    <w:p w14:paraId="62ADD745" w14:textId="77777777" w:rsidR="000222E6" w:rsidRPr="00C85599" w:rsidRDefault="00455E2F" w:rsidP="00C855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AASC Auditing Firm Company Limited;</w:t>
      </w:r>
    </w:p>
    <w:p w14:paraId="422869BA" w14:textId="77777777" w:rsidR="000222E6" w:rsidRPr="00C85599" w:rsidRDefault="00455E2F" w:rsidP="00C8559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>
        <w:rPr>
          <w:rFonts w:ascii="Arial" w:hAnsi="Arial"/>
          <w:color w:val="010000"/>
          <w:sz w:val="20"/>
        </w:rPr>
        <w:t>An</w:t>
      </w:r>
      <w:proofErr w:type="gramEnd"/>
      <w:r>
        <w:rPr>
          <w:rFonts w:ascii="Arial" w:hAnsi="Arial"/>
          <w:color w:val="010000"/>
          <w:sz w:val="20"/>
        </w:rPr>
        <w:t xml:space="preserve"> Viet Auditing Company Limited</w:t>
      </w:r>
    </w:p>
    <w:p w14:paraId="236CE17C" w14:textId="77777777" w:rsidR="000222E6" w:rsidRPr="00C85599" w:rsidRDefault="00455E2F" w:rsidP="00C8559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ASCO Firm Auditing and Valuation Comp</w:t>
      </w:r>
      <w:r>
        <w:rPr>
          <w:rFonts w:ascii="Arial" w:hAnsi="Arial"/>
          <w:color w:val="010000"/>
          <w:sz w:val="20"/>
        </w:rPr>
        <w:t>any Limited.</w:t>
      </w:r>
    </w:p>
    <w:p w14:paraId="23130E84" w14:textId="77777777" w:rsidR="000222E6" w:rsidRPr="00C85599" w:rsidRDefault="00455E2F" w:rsidP="00C8559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Vietnam Auditing and Valuation Company Limited;</w:t>
      </w:r>
    </w:p>
    <w:p w14:paraId="2D20A7D5" w14:textId="77777777" w:rsidR="000222E6" w:rsidRPr="00C85599" w:rsidRDefault="00455E2F" w:rsidP="00C855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 xml:space="preserve"> </w:t>
      </w:r>
      <w:r>
        <w:rPr>
          <w:rFonts w:ascii="Arial" w:hAnsi="Arial"/>
          <w:color w:val="010000"/>
          <w:sz w:val="20"/>
        </w:rPr>
        <w:t>Assign the Board of Directors to select an audit company in the above list to review the Semi-annual Financial Statements and audit the Financial Statements 2024 of the Company.</w:t>
      </w:r>
    </w:p>
    <w:p w14:paraId="58D373F7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‎‎Article 9. Approve the Proposal on the Charter amendment and the change of t</w:t>
      </w:r>
      <w:r>
        <w:rPr>
          <w:rFonts w:ascii="Arial" w:hAnsi="Arial"/>
          <w:color w:val="010000"/>
          <w:sz w:val="20"/>
        </w:rPr>
        <w:t>he Company’s legal representative.</w:t>
      </w:r>
    </w:p>
    <w:p w14:paraId="43149F8D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‎‎Article 10. Approve the election results of the members of the Board of Directors and the Supervisory Board of the 2024 2029 term as follows:</w:t>
      </w:r>
    </w:p>
    <w:p w14:paraId="0939AF61" w14:textId="77777777" w:rsidR="000222E6" w:rsidRPr="00C85599" w:rsidRDefault="00455E2F" w:rsidP="00C855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The list of members of the Board of Directors in the 2024-2029 term</w:t>
      </w:r>
    </w:p>
    <w:tbl>
      <w:tblPr>
        <w:tblStyle w:val="a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37"/>
        <w:gridCol w:w="2712"/>
        <w:gridCol w:w="2694"/>
        <w:gridCol w:w="2474"/>
      </w:tblGrid>
      <w:tr w:rsidR="000222E6" w:rsidRPr="00C85599" w14:paraId="1FF97028" w14:textId="77777777" w:rsidTr="00C85599">
        <w:tc>
          <w:tcPr>
            <w:tcW w:w="6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509D6D6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No.</w:t>
            </w:r>
          </w:p>
        </w:tc>
        <w:tc>
          <w:tcPr>
            <w:tcW w:w="150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58384DD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Full name</w:t>
            </w:r>
          </w:p>
        </w:tc>
        <w:tc>
          <w:tcPr>
            <w:tcW w:w="149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8D0A2D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Date of birth</w:t>
            </w:r>
          </w:p>
        </w:tc>
        <w:tc>
          <w:tcPr>
            <w:tcW w:w="13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ACC0571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Note</w:t>
            </w:r>
          </w:p>
        </w:tc>
      </w:tr>
      <w:tr w:rsidR="000222E6" w:rsidRPr="00C85599" w14:paraId="7D393876" w14:textId="77777777" w:rsidTr="00C85599">
        <w:tc>
          <w:tcPr>
            <w:tcW w:w="6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50850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</w:t>
            </w:r>
          </w:p>
        </w:tc>
        <w:tc>
          <w:tcPr>
            <w:tcW w:w="150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F0C8BF1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Mai The Loan</w:t>
            </w:r>
          </w:p>
        </w:tc>
        <w:tc>
          <w:tcPr>
            <w:tcW w:w="149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F615A4A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1959</w:t>
            </w:r>
          </w:p>
        </w:tc>
        <w:tc>
          <w:tcPr>
            <w:tcW w:w="13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4D1BC80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0222E6" w:rsidRPr="00C85599" w14:paraId="218054C2" w14:textId="77777777" w:rsidTr="00C85599">
        <w:tc>
          <w:tcPr>
            <w:tcW w:w="6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380F64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2</w:t>
            </w:r>
          </w:p>
        </w:tc>
        <w:tc>
          <w:tcPr>
            <w:tcW w:w="150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CB32101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Le Huu Toan</w:t>
            </w:r>
          </w:p>
        </w:tc>
        <w:tc>
          <w:tcPr>
            <w:tcW w:w="149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F060D9C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1970</w:t>
            </w:r>
          </w:p>
        </w:tc>
        <w:tc>
          <w:tcPr>
            <w:tcW w:w="13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645093E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0222E6" w:rsidRPr="00C85599" w14:paraId="22F9ECD5" w14:textId="77777777" w:rsidTr="00C85599">
        <w:tc>
          <w:tcPr>
            <w:tcW w:w="6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406A05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3</w:t>
            </w:r>
          </w:p>
        </w:tc>
        <w:tc>
          <w:tcPr>
            <w:tcW w:w="150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9302FF5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Mai Anh Tuan</w:t>
            </w:r>
          </w:p>
        </w:tc>
        <w:tc>
          <w:tcPr>
            <w:tcW w:w="149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ACCAA7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1985</w:t>
            </w:r>
          </w:p>
        </w:tc>
        <w:tc>
          <w:tcPr>
            <w:tcW w:w="13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E76427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0222E6" w:rsidRPr="00C85599" w14:paraId="6C612C4A" w14:textId="77777777" w:rsidTr="00C85599">
        <w:tc>
          <w:tcPr>
            <w:tcW w:w="6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FF77DA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lastRenderedPageBreak/>
              <w:t>4</w:t>
            </w:r>
          </w:p>
        </w:tc>
        <w:tc>
          <w:tcPr>
            <w:tcW w:w="150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BA5C32F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Mai Thanh Hai</w:t>
            </w:r>
          </w:p>
        </w:tc>
        <w:tc>
          <w:tcPr>
            <w:tcW w:w="149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3DA583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1987</w:t>
            </w:r>
          </w:p>
        </w:tc>
        <w:tc>
          <w:tcPr>
            <w:tcW w:w="13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503585A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0222E6" w:rsidRPr="00C85599" w14:paraId="17FB25CC" w14:textId="77777777" w:rsidTr="00C85599">
        <w:tc>
          <w:tcPr>
            <w:tcW w:w="63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ED0A8B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5</w:t>
            </w:r>
          </w:p>
        </w:tc>
        <w:tc>
          <w:tcPr>
            <w:tcW w:w="150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EBA537C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Lo Manh Cuong</w:t>
            </w:r>
          </w:p>
        </w:tc>
        <w:tc>
          <w:tcPr>
            <w:tcW w:w="149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217F7C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1979</w:t>
            </w:r>
          </w:p>
        </w:tc>
        <w:tc>
          <w:tcPr>
            <w:tcW w:w="13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247DCE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</w:tbl>
    <w:p w14:paraId="13604722" w14:textId="77777777" w:rsidR="000222E6" w:rsidRPr="00C85599" w:rsidRDefault="00455E2F" w:rsidP="00C855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The list of members of the Supervisory Board in the 2024-2029 term:</w:t>
      </w:r>
    </w:p>
    <w:tbl>
      <w:tblPr>
        <w:tblStyle w:val="a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33"/>
        <w:gridCol w:w="2721"/>
        <w:gridCol w:w="2698"/>
        <w:gridCol w:w="2465"/>
      </w:tblGrid>
      <w:tr w:rsidR="000222E6" w:rsidRPr="00C85599" w14:paraId="39C5B2FF" w14:textId="77777777" w:rsidTr="00C85599">
        <w:tc>
          <w:tcPr>
            <w:tcW w:w="6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F95AD3A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No.</w:t>
            </w:r>
          </w:p>
        </w:tc>
        <w:tc>
          <w:tcPr>
            <w:tcW w:w="150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C238E05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Full name</w:t>
            </w:r>
          </w:p>
        </w:tc>
        <w:tc>
          <w:tcPr>
            <w:tcW w:w="14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0C2AB5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Date of birth</w:t>
            </w:r>
          </w:p>
        </w:tc>
        <w:tc>
          <w:tcPr>
            <w:tcW w:w="136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CCF5A3C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Note</w:t>
            </w:r>
          </w:p>
        </w:tc>
      </w:tr>
      <w:tr w:rsidR="000222E6" w:rsidRPr="00C85599" w14:paraId="59C80469" w14:textId="77777777" w:rsidTr="00C85599">
        <w:tc>
          <w:tcPr>
            <w:tcW w:w="6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070BC92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</w:t>
            </w:r>
          </w:p>
        </w:tc>
        <w:tc>
          <w:tcPr>
            <w:tcW w:w="150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FFF285F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 xml:space="preserve">Nguyen Thi Nam </w:t>
            </w:r>
          </w:p>
        </w:tc>
        <w:tc>
          <w:tcPr>
            <w:tcW w:w="14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BC9DC0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1972</w:t>
            </w:r>
          </w:p>
        </w:tc>
        <w:tc>
          <w:tcPr>
            <w:tcW w:w="136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FCB566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0222E6" w:rsidRPr="00C85599" w14:paraId="0EC98968" w14:textId="77777777" w:rsidTr="00C85599">
        <w:tc>
          <w:tcPr>
            <w:tcW w:w="6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95E21BC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2</w:t>
            </w:r>
          </w:p>
        </w:tc>
        <w:tc>
          <w:tcPr>
            <w:tcW w:w="150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411139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Nguyen Hoang Trach</w:t>
            </w:r>
          </w:p>
        </w:tc>
        <w:tc>
          <w:tcPr>
            <w:tcW w:w="14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3E8F12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1984</w:t>
            </w:r>
          </w:p>
        </w:tc>
        <w:tc>
          <w:tcPr>
            <w:tcW w:w="136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039DCC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0222E6" w:rsidRPr="00C85599" w14:paraId="64F7076D" w14:textId="77777777" w:rsidTr="00C85599">
        <w:tc>
          <w:tcPr>
            <w:tcW w:w="6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4A91CA4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3</w:t>
            </w:r>
          </w:p>
        </w:tc>
        <w:tc>
          <w:tcPr>
            <w:tcW w:w="150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BCB2D1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Nguyen Thi Minh Hue</w:t>
            </w:r>
          </w:p>
        </w:tc>
        <w:tc>
          <w:tcPr>
            <w:tcW w:w="14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024E3B3" w14:textId="77777777" w:rsidR="000222E6" w:rsidRPr="00C85599" w:rsidRDefault="00455E2F" w:rsidP="00C855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>
              <w:rPr>
                <w:rFonts w:ascii="Arial" w:hAnsi="Arial"/>
                <w:color w:val="010000"/>
                <w:sz w:val="20"/>
              </w:rPr>
              <w:t>1987</w:t>
            </w:r>
          </w:p>
        </w:tc>
        <w:tc>
          <w:tcPr>
            <w:tcW w:w="136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4039D2" w14:textId="77777777" w:rsidR="000222E6" w:rsidRPr="00C85599" w:rsidRDefault="000222E6" w:rsidP="00C85599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</w:tbl>
    <w:p w14:paraId="73E4CE24" w14:textId="77777777" w:rsidR="000222E6" w:rsidRPr="00C85599" w:rsidRDefault="00455E2F" w:rsidP="00C8559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‎‎Article 11. Terms of enforcement</w:t>
      </w:r>
    </w:p>
    <w:p w14:paraId="2BC52A59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149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>Yen Binh Cement Joint Stock Company’s General Mandate 2024 takes effect from April 29, 2024.</w:t>
      </w:r>
    </w:p>
    <w:p w14:paraId="45F66821" w14:textId="77777777" w:rsidR="000222E6" w:rsidRPr="00C85599" w:rsidRDefault="00455E2F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>
        <w:rPr>
          <w:rFonts w:ascii="Arial" w:hAnsi="Arial"/>
          <w:color w:val="010000"/>
          <w:sz w:val="20"/>
        </w:rPr>
        <w:t xml:space="preserve">The General Meeting of Shareholders assigns the Board of Directors to implement the approved contents on the basis of ensuring the benefits of the Company and its </w:t>
      </w:r>
      <w:r>
        <w:rPr>
          <w:rFonts w:ascii="Arial" w:hAnsi="Arial"/>
          <w:color w:val="010000"/>
          <w:sz w:val="20"/>
        </w:rPr>
        <w:t xml:space="preserve">shareholders as well as following the Company’s Charter and the current law. </w:t>
      </w:r>
    </w:p>
    <w:p w14:paraId="1905A4FD" w14:textId="77777777" w:rsidR="000222E6" w:rsidRPr="00C85599" w:rsidRDefault="000222E6" w:rsidP="00C85599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10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</w:p>
    <w:sectPr w:rsidR="000222E6" w:rsidRPr="00C85599" w:rsidSect="00750ADA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BBCC610-C68E-47E9-9BD9-A588AE578B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A3DCE51-C437-4BAC-8E9C-187DE3C6CBBB}"/>
    <w:embedItalic r:id="rId3" w:fontKey="{66B94AF3-B30D-4B89-A227-910237C4AF0C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488E1BA-08A6-4D57-8F38-577CAE88B2B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F4C03FC-27F3-435D-BEFE-9FDB8465B4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92B2F"/>
    <w:multiLevelType w:val="multilevel"/>
    <w:tmpl w:val="2342FBDC"/>
    <w:lvl w:ilvl="0">
      <w:start w:val="1"/>
      <w:numFmt w:val="bullet"/>
      <w:lvlText w:val="o"/>
      <w:lvlJc w:val="left"/>
      <w:pPr>
        <w:ind w:left="780" w:hanging="360"/>
      </w:pPr>
      <w:rPr>
        <w:rFonts w:ascii="Arial" w:eastAsia="Courier New" w:hAnsi="Arial" w:cs="Arial"/>
        <w:b w:val="0"/>
        <w:i w:val="0"/>
        <w:sz w:val="20"/>
        <w:u w:val="no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Arial" w:eastAsia="Courier New" w:hAnsi="Arial" w:cs="Arial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Arial" w:eastAsia="Noto Sans Symbols" w:hAnsi="Arial" w:cs="Arial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5F24CB"/>
    <w:multiLevelType w:val="multilevel"/>
    <w:tmpl w:val="961049B0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7727C50"/>
    <w:multiLevelType w:val="multilevel"/>
    <w:tmpl w:val="B0E00CF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E9092F"/>
    <w:multiLevelType w:val="multilevel"/>
    <w:tmpl w:val="6DEA12D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Courier New" w:hAnsi="Arial" w:cs="Arial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Noto Sans Symbols" w:hAnsi="Arial" w:cs="Arial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F377C0"/>
    <w:multiLevelType w:val="multilevel"/>
    <w:tmpl w:val="AA725292"/>
    <w:lvl w:ilvl="0">
      <w:start w:val="1"/>
      <w:numFmt w:val="bullet"/>
      <w:lvlText w:val="▪"/>
      <w:lvlJc w:val="left"/>
      <w:pPr>
        <w:ind w:left="720" w:hanging="360"/>
      </w:pPr>
      <w:rPr>
        <w:rFonts w:ascii="Arial" w:eastAsia="Noto Sans Symbols" w:hAnsi="Arial" w:cs="Arial"/>
        <w:b w:val="0"/>
        <w:i w:val="0"/>
        <w:sz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Courier New" w:hAnsi="Arial" w:cs="Arial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Noto Sans Symbols" w:hAnsi="Arial" w:cs="Arial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8CC00C9"/>
    <w:multiLevelType w:val="multilevel"/>
    <w:tmpl w:val="3AFE94D8"/>
    <w:lvl w:ilvl="0">
      <w:start w:val="1"/>
      <w:numFmt w:val="bullet"/>
      <w:lvlText w:val="o"/>
      <w:lvlJc w:val="left"/>
      <w:pPr>
        <w:ind w:left="780" w:hanging="360"/>
      </w:pPr>
      <w:rPr>
        <w:rFonts w:ascii="Arial" w:eastAsia="Courier New" w:hAnsi="Arial" w:cs="Arial"/>
        <w:b w:val="0"/>
        <w:i w:val="0"/>
        <w:sz w:val="20"/>
        <w:u w:val="none"/>
      </w:rPr>
    </w:lvl>
    <w:lvl w:ilvl="1">
      <w:numFmt w:val="bullet"/>
      <w:lvlText w:val="●"/>
      <w:lvlJc w:val="left"/>
      <w:pPr>
        <w:ind w:left="1500" w:hanging="360"/>
      </w:pPr>
      <w:rPr>
        <w:rFonts w:ascii="Arial" w:eastAsia="Noto Sans Symbols" w:hAnsi="Arial" w:cs="Arial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Arial" w:eastAsia="Noto Sans Symbols" w:hAnsi="Arial" w:cs="Arial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F444A47"/>
    <w:multiLevelType w:val="multilevel"/>
    <w:tmpl w:val="5CC2E052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Noto Sans Symbols" w:hAnsi="Arial" w:cs="Arial"/>
        <w:b w:val="0"/>
        <w:i w:val="0"/>
        <w:sz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Courier New" w:hAnsi="Arial" w:cs="Arial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Noto Sans Symbols" w:hAnsi="Arial" w:cs="Arial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2E6"/>
    <w:rsid w:val="000222E6"/>
    <w:rsid w:val="00455E2F"/>
    <w:rsid w:val="00750ADA"/>
    <w:rsid w:val="00C85599"/>
    <w:rsid w:val="00F9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67D2C"/>
  <w15:docId w15:val="{DE961317-3CF5-482A-9B3D-1B0BF6E2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BB344E"/>
      <w:sz w:val="20"/>
      <w:szCs w:val="20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BB344E"/>
      <w:sz w:val="28"/>
      <w:szCs w:val="28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rPr>
      <w:rFonts w:ascii="Arial" w:eastAsia="Arial" w:hAnsi="Arial" w:cs="Arial"/>
      <w:color w:val="BB344E"/>
      <w:sz w:val="20"/>
      <w:szCs w:val="20"/>
    </w:rPr>
  </w:style>
  <w:style w:type="paragraph" w:customStyle="1" w:styleId="Bodytext30">
    <w:name w:val="Body text (3)"/>
    <w:basedOn w:val="Normal"/>
    <w:link w:val="Bodytext3"/>
    <w:pPr>
      <w:spacing w:line="185" w:lineRule="auto"/>
      <w:jc w:val="right"/>
    </w:pPr>
    <w:rPr>
      <w:rFonts w:ascii="Times New Roman" w:eastAsia="Times New Roman" w:hAnsi="Times New Roman" w:cs="Times New Roman"/>
      <w:color w:val="BB344E"/>
      <w:sz w:val="28"/>
      <w:szCs w:val="28"/>
    </w:rPr>
  </w:style>
  <w:style w:type="paragraph" w:styleId="BodyText">
    <w:name w:val="Body Text"/>
    <w:basedOn w:val="Normal"/>
    <w:link w:val="BodyTextChar"/>
    <w:qFormat/>
    <w:pPr>
      <w:spacing w:line="338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Heading11">
    <w:name w:val="Heading #1"/>
    <w:basedOn w:val="Normal"/>
    <w:link w:val="Heading10"/>
    <w:pPr>
      <w:spacing w:line="307" w:lineRule="auto"/>
      <w:ind w:firstLine="24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Other0">
    <w:name w:val="Other"/>
    <w:basedOn w:val="Normal"/>
    <w:link w:val="Other"/>
    <w:pPr>
      <w:spacing w:line="338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Tablecaption0">
    <w:name w:val="Table caption"/>
    <w:basedOn w:val="Normal"/>
    <w:link w:val="Tablecaption"/>
    <w:rPr>
      <w:rFonts w:ascii="Times New Roman" w:eastAsia="Times New Roman" w:hAnsi="Times New Roman" w:cs="Times New Roman"/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kENehtWmQ5k2fsdn+yezkpdvdw==">CgMxLjAyCGguZ2pkZ3hzOAByITF3M2JpUnNzYjB4eVZWZl94anFxZlZQNURvdFFRUHJKcQ==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645</Words>
  <Characters>3677</Characters>
  <Application>Microsoft Office Word</Application>
  <DocSecurity>0</DocSecurity>
  <Lines>30</Lines>
  <Paragraphs>8</Paragraphs>
  <ScaleCrop>false</ScaleCrop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Đinh Thị Chung TA45A</cp:lastModifiedBy>
  <cp:revision>6</cp:revision>
  <dcterms:created xsi:type="dcterms:W3CDTF">2024-05-08T04:06:00Z</dcterms:created>
  <dcterms:modified xsi:type="dcterms:W3CDTF">2024-05-09T03:02:00Z</dcterms:modified>
</cp:coreProperties>
</file>