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9C" w:rsidRPr="00897E8F" w:rsidRDefault="007D050B" w:rsidP="00897E8F">
      <w:pPr>
        <w:pBdr>
          <w:top w:val="nil"/>
          <w:left w:val="nil"/>
          <w:bottom w:val="nil"/>
          <w:right w:val="nil"/>
          <w:between w:val="nil"/>
        </w:pBdr>
        <w:tabs>
          <w:tab w:val="left" w:pos="360"/>
          <w:tab w:val="left" w:pos="5275"/>
        </w:tabs>
        <w:spacing w:after="120" w:line="360" w:lineRule="auto"/>
        <w:rPr>
          <w:b/>
          <w:color w:val="010000"/>
          <w:sz w:val="20"/>
          <w:szCs w:val="20"/>
          <w:rFonts w:ascii="Arial" w:eastAsia="Arial" w:hAnsi="Arial" w:cs="Arial"/>
        </w:rPr>
      </w:pPr>
      <w:r>
        <w:rPr>
          <w:b/>
          <w:color w:val="010000"/>
          <w:sz w:val="20"/>
          <w:b/>
          <w:bCs/>
          <w:rFonts w:ascii="Arial" w:hAnsi="Arial"/>
        </w:rPr>
        <w:t xml:space="preserve">VLB:</w:t>
      </w:r>
      <w:r>
        <w:rPr>
          <w:b/>
          <w:color w:val="010000"/>
          <w:sz w:val="20"/>
          <w:rFonts w:ascii="Arial" w:hAnsi="Arial"/>
        </w:rPr>
        <w:t xml:space="preserve"> </w:t>
      </w:r>
      <w:r>
        <w:rPr>
          <w:b/>
          <w:color w:val="010000"/>
          <w:sz w:val="20"/>
          <w:rFonts w:ascii="Arial" w:hAnsi="Arial"/>
        </w:rPr>
        <w:t xml:space="preserve">Annual General Mandate 2024</w:t>
      </w:r>
    </w:p>
    <w:p w:rsidR="00B97B9C" w:rsidRPr="00897E8F" w:rsidRDefault="007D050B" w:rsidP="00897E8F">
      <w:pPr>
        <w:pBdr>
          <w:top w:val="nil"/>
          <w:left w:val="nil"/>
          <w:bottom w:val="nil"/>
          <w:right w:val="nil"/>
          <w:between w:val="nil"/>
        </w:pBdr>
        <w:tabs>
          <w:tab w:val="left" w:pos="360"/>
          <w:tab w:val="left" w:pos="5275"/>
        </w:tabs>
        <w:spacing w:after="120" w:line="360" w:lineRule="auto"/>
        <w:rPr>
          <w:color w:val="010000"/>
          <w:sz w:val="20"/>
          <w:szCs w:val="20"/>
          <w:rFonts w:ascii="Arial" w:eastAsia="Arial" w:hAnsi="Arial" w:cs="Arial"/>
        </w:rPr>
      </w:pPr>
      <w:r>
        <w:rPr>
          <w:color w:val="010000"/>
          <w:sz w:val="20"/>
          <w:rFonts w:ascii="Arial" w:hAnsi="Arial"/>
        </w:rPr>
        <w:t xml:space="preserve">On April 26, 2024, Bien Hoa Building Materials Production and Construction Joint Stock Company announced General Mandate No. 01/2024/DHDCD as follows:</w:t>
      </w:r>
    </w:p>
    <w:p w:rsidR="00B97B9C"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‎‎Article 1.</w:t>
      </w:r>
      <w:r>
        <w:rPr>
          <w:color w:val="010000"/>
          <w:sz w:val="20"/>
          <w:rFonts w:ascii="Arial" w:hAnsi="Arial"/>
        </w:rPr>
        <w:t xml:space="preserve"> </w:t>
      </w:r>
      <w:r>
        <w:rPr>
          <w:color w:val="010000"/>
          <w:sz w:val="20"/>
          <w:rFonts w:ascii="Arial" w:hAnsi="Arial"/>
        </w:rPr>
        <w:t xml:space="preserve">The General Meeting approved the following contents:</w:t>
      </w:r>
    </w:p>
    <w:p w:rsidR="00B97B9C"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Content 1:</w:t>
      </w:r>
      <w:r>
        <w:rPr>
          <w:color w:val="010000"/>
          <w:sz w:val="20"/>
          <w:rFonts w:ascii="Arial" w:hAnsi="Arial"/>
        </w:rPr>
        <w:t xml:space="preserve"> </w:t>
      </w:r>
      <w:r>
        <w:rPr>
          <w:color w:val="010000"/>
          <w:sz w:val="20"/>
          <w:rFonts w:ascii="Arial" w:hAnsi="Arial"/>
        </w:rPr>
        <w:t xml:space="preserve">Approve the report of the Company's Executive Board on the situation and results of production and business activities in 2023; production and business plan for 2024.</w:t>
      </w:r>
    </w:p>
    <w:p w:rsidR="00897E8F" w:rsidRPr="00897E8F" w:rsidRDefault="00897E8F"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Production and business results of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4"/>
        <w:gridCol w:w="2451"/>
        <w:gridCol w:w="1372"/>
        <w:gridCol w:w="1477"/>
        <w:gridCol w:w="1522"/>
        <w:gridCol w:w="1500"/>
      </w:tblGrid>
      <w:tr w:rsidR="00897E8F" w:rsidRPr="00897E8F" w:rsidTr="00897E8F">
        <w:tblPrEx>
          <w:tblCellMar>
            <w:top w:w="0" w:type="dxa"/>
            <w:left w:w="0" w:type="dxa"/>
            <w:bottom w:w="0" w:type="dxa"/>
            <w:right w:w="0" w:type="dxa"/>
          </w:tblCellMar>
        </w:tblPrEx>
        <w:tc>
          <w:tcPr>
            <w:tcW w:w="385"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No.</w:t>
            </w:r>
          </w:p>
        </w:tc>
        <w:tc>
          <w:tcPr>
            <w:tcW w:w="135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Target</w:t>
            </w:r>
          </w:p>
        </w:tc>
        <w:tc>
          <w:tcPr>
            <w:tcW w:w="761"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Unit</w:t>
            </w:r>
          </w:p>
        </w:tc>
        <w:tc>
          <w:tcPr>
            <w:tcW w:w="81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Plan 2023</w:t>
            </w:r>
          </w:p>
        </w:tc>
        <w:tc>
          <w:tcPr>
            <w:tcW w:w="844"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Results 2023</w:t>
            </w:r>
          </w:p>
        </w:tc>
        <w:tc>
          <w:tcPr>
            <w:tcW w:w="832"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Results/Plan 2023 (%)</w:t>
            </w:r>
          </w:p>
        </w:tc>
      </w:tr>
      <w:tr w:rsidR="00897E8F" w:rsidRPr="00897E8F" w:rsidTr="00897E8F">
        <w:tblPrEx>
          <w:tblCellMar>
            <w:top w:w="0" w:type="dxa"/>
            <w:left w:w="0" w:type="dxa"/>
            <w:bottom w:w="0" w:type="dxa"/>
            <w:right w:w="0" w:type="dxa"/>
          </w:tblCellMar>
        </w:tblPrEx>
        <w:tc>
          <w:tcPr>
            <w:tcW w:w="385"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1</w:t>
            </w:r>
          </w:p>
        </w:tc>
        <w:tc>
          <w:tcPr>
            <w:tcW w:w="135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Net revenue</w:t>
            </w:r>
          </w:p>
        </w:tc>
        <w:tc>
          <w:tcPr>
            <w:tcW w:w="761"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Million VND</w:t>
            </w:r>
          </w:p>
        </w:tc>
        <w:tc>
          <w:tcPr>
            <w:tcW w:w="81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964,739</w:t>
            </w:r>
          </w:p>
        </w:tc>
        <w:tc>
          <w:tcPr>
            <w:tcW w:w="844"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1,003,204</w:t>
            </w:r>
          </w:p>
        </w:tc>
        <w:tc>
          <w:tcPr>
            <w:tcW w:w="832"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104</w:t>
            </w:r>
          </w:p>
        </w:tc>
      </w:tr>
      <w:tr w:rsidR="00897E8F" w:rsidRPr="00897E8F" w:rsidTr="00897E8F">
        <w:tblPrEx>
          <w:tblCellMar>
            <w:top w:w="0" w:type="dxa"/>
            <w:left w:w="0" w:type="dxa"/>
            <w:bottom w:w="0" w:type="dxa"/>
            <w:right w:w="0" w:type="dxa"/>
          </w:tblCellMar>
        </w:tblPrEx>
        <w:tc>
          <w:tcPr>
            <w:tcW w:w="385"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2</w:t>
            </w:r>
          </w:p>
        </w:tc>
        <w:tc>
          <w:tcPr>
            <w:tcW w:w="135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Profit before tax</w:t>
            </w:r>
          </w:p>
        </w:tc>
        <w:tc>
          <w:tcPr>
            <w:tcW w:w="761"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Million VND</w:t>
            </w:r>
          </w:p>
        </w:tc>
        <w:tc>
          <w:tcPr>
            <w:tcW w:w="81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130,000</w:t>
            </w:r>
          </w:p>
        </w:tc>
        <w:tc>
          <w:tcPr>
            <w:tcW w:w="844"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172,988</w:t>
            </w:r>
          </w:p>
        </w:tc>
        <w:tc>
          <w:tcPr>
            <w:tcW w:w="832"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133</w:t>
            </w:r>
          </w:p>
        </w:tc>
      </w:tr>
    </w:tbl>
    <w:p w:rsidR="00897E8F" w:rsidRPr="00897E8F" w:rsidRDefault="00897E8F"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Production and business plan for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0"/>
        <w:gridCol w:w="3725"/>
        <w:gridCol w:w="1670"/>
        <w:gridCol w:w="2631"/>
      </w:tblGrid>
      <w:tr w:rsidR="00897E8F" w:rsidRPr="00897E8F" w:rsidTr="00897E8F">
        <w:tblPrEx>
          <w:tblCellMar>
            <w:top w:w="0" w:type="dxa"/>
            <w:left w:w="0" w:type="dxa"/>
            <w:bottom w:w="0" w:type="dxa"/>
            <w:right w:w="0" w:type="dxa"/>
          </w:tblCellMar>
        </w:tblPrEx>
        <w:tc>
          <w:tcPr>
            <w:tcW w:w="54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No.</w:t>
            </w:r>
          </w:p>
        </w:tc>
        <w:tc>
          <w:tcPr>
            <w:tcW w:w="2066"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Main criteria</w:t>
            </w:r>
          </w:p>
        </w:tc>
        <w:tc>
          <w:tcPr>
            <w:tcW w:w="926"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Unit </w:t>
            </w:r>
          </w:p>
        </w:tc>
        <w:tc>
          <w:tcPr>
            <w:tcW w:w="145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Implementation plan</w:t>
            </w:r>
          </w:p>
        </w:tc>
      </w:tr>
      <w:tr w:rsidR="00897E8F" w:rsidRPr="00897E8F" w:rsidTr="00897E8F">
        <w:tblPrEx>
          <w:tblCellMar>
            <w:top w:w="0" w:type="dxa"/>
            <w:left w:w="0" w:type="dxa"/>
            <w:bottom w:w="0" w:type="dxa"/>
            <w:right w:w="0" w:type="dxa"/>
          </w:tblCellMar>
        </w:tblPrEx>
        <w:tc>
          <w:tcPr>
            <w:tcW w:w="54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1</w:t>
            </w:r>
          </w:p>
        </w:tc>
        <w:tc>
          <w:tcPr>
            <w:tcW w:w="2066" w:type="pct"/>
            <w:shd w:val="clear" w:color="auto" w:fill="auto"/>
            <w:vAlign w:val="center"/>
          </w:tcPr>
          <w:p w:rsidR="00897E8F" w:rsidRPr="00897E8F" w:rsidRDefault="00897E8F" w:rsidP="00897E8F">
            <w:pPr>
              <w:widowControl/>
              <w:spacing w:after="120" w:line="360" w:lineRule="auto"/>
              <w:rPr>
                <w:sz w:val="20"/>
                <w:rFonts w:ascii="Arial" w:eastAsia="Times New Roman" w:hAnsi="Arial" w:cs="Arial"/>
              </w:rPr>
            </w:pPr>
            <w:r>
              <w:rPr>
                <w:sz w:val="20"/>
                <w:rFonts w:ascii="Arial" w:hAnsi="Arial"/>
              </w:rPr>
              <w:t xml:space="preserve">Production of various types of stone products</w:t>
            </w:r>
            <w:r>
              <w:rPr>
                <w:sz w:val="20"/>
                <w:rFonts w:ascii="Arial" w:hAnsi="Arial"/>
              </w:rPr>
              <w:t xml:space="preserve"> </w:t>
            </w:r>
          </w:p>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Consumption of various types of stone products</w:t>
            </w:r>
          </w:p>
        </w:tc>
        <w:tc>
          <w:tcPr>
            <w:tcW w:w="926"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m3</w:t>
            </w:r>
          </w:p>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m3</w:t>
            </w:r>
          </w:p>
        </w:tc>
        <w:tc>
          <w:tcPr>
            <w:tcW w:w="145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5,050,000</w:t>
            </w:r>
          </w:p>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5,200,000</w:t>
            </w:r>
          </w:p>
        </w:tc>
      </w:tr>
      <w:tr w:rsidR="00897E8F" w:rsidRPr="00897E8F" w:rsidTr="00897E8F">
        <w:tblPrEx>
          <w:tblCellMar>
            <w:top w:w="0" w:type="dxa"/>
            <w:left w:w="0" w:type="dxa"/>
            <w:bottom w:w="0" w:type="dxa"/>
            <w:right w:w="0" w:type="dxa"/>
          </w:tblCellMar>
        </w:tblPrEx>
        <w:tc>
          <w:tcPr>
            <w:tcW w:w="54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2</w:t>
            </w:r>
          </w:p>
        </w:tc>
        <w:tc>
          <w:tcPr>
            <w:tcW w:w="2066"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Revenue, including:</w:t>
            </w:r>
          </w:p>
          <w:p w:rsidR="00897E8F" w:rsidRPr="00897E8F" w:rsidRDefault="00897E8F" w:rsidP="00897E8F">
            <w:pPr>
              <w:pStyle w:val="ListParagraph"/>
              <w:widowControl/>
              <w:numPr>
                <w:ilvl w:val="0"/>
                <w:numId w:val="5"/>
              </w:numPr>
              <w:tabs>
                <w:tab w:val="left" w:pos="108"/>
              </w:tabs>
              <w:spacing w:after="120" w:line="360" w:lineRule="auto"/>
              <w:ind w:left="0" w:firstLine="0"/>
              <w:contextualSpacing w:val="0"/>
              <w:rPr>
                <w:color w:val="auto"/>
                <w:sz w:val="20"/>
                <w:rFonts w:ascii="Arial" w:eastAsia="Times New Roman" w:hAnsi="Arial" w:cs="Arial"/>
              </w:rPr>
            </w:pPr>
            <w:r>
              <w:rPr>
                <w:sz w:val="20"/>
                <w:rFonts w:ascii="Arial" w:hAnsi="Arial"/>
              </w:rPr>
              <w:t xml:space="preserve">Consumption of stone products</w:t>
            </w:r>
          </w:p>
          <w:p w:rsidR="00897E8F" w:rsidRPr="00897E8F" w:rsidRDefault="00897E8F" w:rsidP="00897E8F">
            <w:pPr>
              <w:pStyle w:val="ListParagraph"/>
              <w:widowControl/>
              <w:numPr>
                <w:ilvl w:val="0"/>
                <w:numId w:val="5"/>
              </w:numPr>
              <w:tabs>
                <w:tab w:val="left" w:pos="108"/>
              </w:tabs>
              <w:spacing w:after="120" w:line="360" w:lineRule="auto"/>
              <w:ind w:left="0" w:firstLine="0"/>
              <w:contextualSpacing w:val="0"/>
              <w:rPr>
                <w:color w:val="auto"/>
                <w:sz w:val="20"/>
                <w:rFonts w:ascii="Arial" w:eastAsia="Times New Roman" w:hAnsi="Arial" w:cs="Arial"/>
              </w:rPr>
            </w:pPr>
            <w:r>
              <w:rPr>
                <w:sz w:val="20"/>
                <w:rFonts w:ascii="Arial" w:hAnsi="Arial"/>
              </w:rPr>
              <w:t xml:space="preserve">Consumption of soil + sand products</w:t>
            </w:r>
          </w:p>
          <w:p w:rsidR="00897E8F" w:rsidRPr="00897E8F" w:rsidRDefault="00897E8F" w:rsidP="00897E8F">
            <w:pPr>
              <w:pStyle w:val="ListParagraph"/>
              <w:widowControl/>
              <w:numPr>
                <w:ilvl w:val="0"/>
                <w:numId w:val="5"/>
              </w:numPr>
              <w:tabs>
                <w:tab w:val="left" w:pos="98"/>
              </w:tabs>
              <w:spacing w:after="120" w:line="360" w:lineRule="auto"/>
              <w:ind w:left="0" w:firstLine="0"/>
              <w:contextualSpacing w:val="0"/>
              <w:rPr>
                <w:color w:val="auto"/>
                <w:sz w:val="20"/>
                <w:rFonts w:ascii="Arial" w:eastAsia="Times New Roman" w:hAnsi="Arial" w:cs="Arial"/>
              </w:rPr>
            </w:pPr>
            <w:r>
              <w:rPr>
                <w:sz w:val="20"/>
                <w:rFonts w:ascii="Arial" w:hAnsi="Arial"/>
              </w:rPr>
              <w:t xml:space="preserve">Construction materials business</w:t>
            </w:r>
          </w:p>
        </w:tc>
        <w:tc>
          <w:tcPr>
            <w:tcW w:w="926" w:type="pct"/>
            <w:shd w:val="clear" w:color="auto" w:fill="auto"/>
            <w:vAlign w:val="center"/>
          </w:tcPr>
          <w:p w:rsidR="00897E8F" w:rsidRPr="00897E8F" w:rsidRDefault="00897E8F" w:rsidP="00897E8F">
            <w:pPr>
              <w:widowControl/>
              <w:spacing w:after="120" w:line="360" w:lineRule="auto"/>
              <w:rPr>
                <w:sz w:val="20"/>
                <w:rFonts w:ascii="Arial" w:eastAsia="Times New Roman" w:hAnsi="Arial" w:cs="Arial"/>
              </w:rPr>
            </w:pPr>
            <w:r>
              <w:rPr>
                <w:sz w:val="20"/>
                <w:rFonts w:ascii="Arial" w:hAnsi="Arial"/>
              </w:rPr>
              <w:t xml:space="preserve">VND</w:t>
            </w:r>
            <w:r>
              <w:rPr>
                <w:sz w:val="20"/>
                <w:rFonts w:ascii="Arial" w:hAnsi="Arial"/>
              </w:rPr>
              <w:t xml:space="preserve"> </w:t>
            </w:r>
          </w:p>
          <w:p w:rsidR="00897E8F" w:rsidRPr="00897E8F" w:rsidRDefault="00897E8F" w:rsidP="00897E8F">
            <w:pPr>
              <w:widowControl/>
              <w:spacing w:after="120" w:line="360" w:lineRule="auto"/>
              <w:rPr>
                <w:sz w:val="20"/>
                <w:rFonts w:ascii="Arial" w:eastAsia="Times New Roman" w:hAnsi="Arial" w:cs="Arial"/>
              </w:rPr>
            </w:pPr>
            <w:r>
              <w:rPr>
                <w:sz w:val="20"/>
                <w:rFonts w:ascii="Arial" w:hAnsi="Arial"/>
              </w:rPr>
              <w:t xml:space="preserve">VND</w:t>
            </w:r>
            <w:r>
              <w:rPr>
                <w:sz w:val="20"/>
                <w:rFonts w:ascii="Arial" w:hAnsi="Arial"/>
              </w:rPr>
              <w:t xml:space="preserve"> </w:t>
            </w:r>
          </w:p>
          <w:p w:rsidR="00897E8F" w:rsidRPr="00897E8F" w:rsidRDefault="00897E8F" w:rsidP="00897E8F">
            <w:pPr>
              <w:widowControl/>
              <w:spacing w:after="120" w:line="360" w:lineRule="auto"/>
              <w:rPr>
                <w:sz w:val="20"/>
                <w:rFonts w:ascii="Arial" w:eastAsia="Times New Roman" w:hAnsi="Arial" w:cs="Arial"/>
              </w:rPr>
            </w:pPr>
            <w:r>
              <w:rPr>
                <w:sz w:val="20"/>
                <w:rFonts w:ascii="Arial" w:hAnsi="Arial"/>
              </w:rPr>
              <w:t xml:space="preserve">VND</w:t>
            </w:r>
            <w:r>
              <w:rPr>
                <w:sz w:val="20"/>
                <w:rFonts w:ascii="Arial" w:hAnsi="Arial"/>
              </w:rPr>
              <w:t xml:space="preserve"> </w:t>
            </w:r>
          </w:p>
          <w:p w:rsidR="00897E8F" w:rsidRPr="00897E8F" w:rsidRDefault="00897E8F" w:rsidP="00897E8F">
            <w:pPr>
              <w:widowControl/>
              <w:spacing w:after="120" w:line="360" w:lineRule="auto"/>
              <w:rPr>
                <w:sz w:val="20"/>
                <w:rFonts w:ascii="Arial" w:eastAsia="Times New Roman" w:hAnsi="Arial" w:cs="Arial"/>
              </w:rPr>
            </w:pPr>
            <w:r>
              <w:rPr>
                <w:sz w:val="20"/>
                <w:rFonts w:ascii="Arial" w:hAnsi="Arial"/>
              </w:rPr>
              <w:t xml:space="preserve">VND</w:t>
            </w:r>
          </w:p>
        </w:tc>
        <w:tc>
          <w:tcPr>
            <w:tcW w:w="145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878,313,000,000</w:t>
            </w:r>
          </w:p>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862,408,700,000</w:t>
            </w:r>
          </w:p>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10,500,000,000</w:t>
            </w:r>
          </w:p>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5,404,300,000</w:t>
            </w:r>
          </w:p>
        </w:tc>
      </w:tr>
      <w:tr w:rsidR="00897E8F" w:rsidRPr="00897E8F" w:rsidTr="00897E8F">
        <w:tblPrEx>
          <w:tblCellMar>
            <w:top w:w="0" w:type="dxa"/>
            <w:left w:w="0" w:type="dxa"/>
            <w:bottom w:w="0" w:type="dxa"/>
            <w:right w:w="0" w:type="dxa"/>
          </w:tblCellMar>
        </w:tblPrEx>
        <w:tc>
          <w:tcPr>
            <w:tcW w:w="54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3</w:t>
            </w:r>
          </w:p>
        </w:tc>
        <w:tc>
          <w:tcPr>
            <w:tcW w:w="2066"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Profit before tax</w:t>
            </w:r>
          </w:p>
        </w:tc>
        <w:tc>
          <w:tcPr>
            <w:tcW w:w="926"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VND</w:t>
            </w:r>
          </w:p>
        </w:tc>
        <w:tc>
          <w:tcPr>
            <w:tcW w:w="1459" w:type="pct"/>
            <w:shd w:val="clear" w:color="auto" w:fill="auto"/>
            <w:vAlign w:val="center"/>
          </w:tcPr>
          <w:p w:rsidR="00897E8F" w:rsidRPr="00897E8F" w:rsidRDefault="00897E8F" w:rsidP="00897E8F">
            <w:pPr>
              <w:widowControl/>
              <w:spacing w:after="120" w:line="360" w:lineRule="auto"/>
              <w:rPr>
                <w:color w:val="auto"/>
                <w:sz w:val="20"/>
                <w:rFonts w:ascii="Arial" w:eastAsia="Times New Roman" w:hAnsi="Arial" w:cs="Arial"/>
              </w:rPr>
            </w:pPr>
            <w:r>
              <w:rPr>
                <w:sz w:val="20"/>
                <w:rFonts w:ascii="Arial" w:hAnsi="Arial"/>
              </w:rPr>
              <w:t xml:space="preserve">130,000,000,000</w:t>
            </w:r>
          </w:p>
        </w:tc>
      </w:tr>
    </w:tbl>
    <w:p w:rsidR="00B97B9C"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Content 2:</w:t>
      </w:r>
      <w:r>
        <w:rPr>
          <w:color w:val="010000"/>
          <w:sz w:val="20"/>
          <w:rFonts w:ascii="Arial" w:hAnsi="Arial"/>
        </w:rPr>
        <w:t xml:space="preserve"> </w:t>
      </w:r>
      <w:r>
        <w:rPr>
          <w:color w:val="010000"/>
          <w:sz w:val="20"/>
          <w:rFonts w:ascii="Arial" w:hAnsi="Arial"/>
        </w:rPr>
        <w:t xml:space="preserve">Approve the Report on activities of the Board of Directors in 2023; the operational plan 2024</w:t>
      </w:r>
    </w:p>
    <w:p w:rsidR="00B97B9C"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Content 3:</w:t>
      </w:r>
      <w:r>
        <w:rPr>
          <w:color w:val="010000"/>
          <w:sz w:val="20"/>
          <w:rFonts w:ascii="Arial" w:hAnsi="Arial"/>
        </w:rPr>
        <w:t xml:space="preserve"> </w:t>
      </w:r>
      <w:r>
        <w:rPr>
          <w:color w:val="010000"/>
          <w:sz w:val="20"/>
          <w:rFonts w:ascii="Arial" w:hAnsi="Arial"/>
        </w:rPr>
        <w:t xml:space="preserve">Approve the performance report of the Supervisory Board in 2023.</w:t>
      </w:r>
    </w:p>
    <w:p w:rsidR="00B97B9C"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Content 4:</w:t>
      </w:r>
      <w:r>
        <w:rPr>
          <w:color w:val="010000"/>
          <w:sz w:val="20"/>
          <w:rFonts w:ascii="Arial" w:hAnsi="Arial"/>
        </w:rPr>
        <w:t xml:space="preserve"> </w:t>
      </w:r>
      <w:r>
        <w:rPr>
          <w:color w:val="010000"/>
          <w:sz w:val="20"/>
          <w:rFonts w:ascii="Arial" w:hAnsi="Arial"/>
        </w:rPr>
        <w:t xml:space="preserve">Approve the Financial Statements 2023 of the Company audited by A&amp;C Auditing and Consulting Co., Ltd.</w:t>
      </w:r>
    </w:p>
    <w:p w:rsidR="00B97B9C"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Content 5:</w:t>
      </w:r>
      <w:r>
        <w:rPr>
          <w:color w:val="010000"/>
          <w:sz w:val="20"/>
          <w:rFonts w:ascii="Arial" w:hAnsi="Arial"/>
        </w:rPr>
        <w:t xml:space="preserve"> </w:t>
      </w:r>
      <w:r>
        <w:rPr>
          <w:color w:val="010000"/>
          <w:sz w:val="20"/>
          <w:rFonts w:ascii="Arial" w:hAnsi="Arial"/>
        </w:rPr>
        <w:t xml:space="preserve">Approve the plan for profit distribution and dividend payment in 2023; profit distribution and dividend payment plan for 2024 as follows:</w:t>
      </w:r>
    </w:p>
    <w:p w:rsidR="00B97B9C" w:rsidRPr="00897E8F" w:rsidRDefault="007D050B" w:rsidP="00897E8F">
      <w:pPr>
        <w:pStyle w:val="ListParagraph"/>
        <w:numPr>
          <w:ilvl w:val="0"/>
          <w:numId w:val="3"/>
        </w:numPr>
        <w:pBdr>
          <w:top w:val="nil"/>
          <w:left w:val="nil"/>
          <w:bottom w:val="nil"/>
          <w:right w:val="nil"/>
          <w:between w:val="nil"/>
        </w:pBdr>
        <w:tabs>
          <w:tab w:val="left" w:pos="360"/>
        </w:tabs>
        <w:spacing w:after="120" w:line="360" w:lineRule="auto"/>
        <w:ind w:left="0" w:firstLine="0"/>
        <w:contextualSpacing w:val="0"/>
        <w:rPr>
          <w:color w:val="010000"/>
          <w:sz w:val="20"/>
          <w:szCs w:val="20"/>
          <w:rFonts w:ascii="Arial" w:eastAsia="Arial" w:hAnsi="Arial" w:cs="Arial"/>
        </w:rPr>
      </w:pPr>
      <w:r>
        <w:rPr>
          <w:color w:val="010000"/>
          <w:sz w:val="20"/>
          <w:rFonts w:ascii="Arial" w:hAnsi="Arial"/>
        </w:rPr>
        <w:t xml:space="preserve">Profit distribution and dividend payment of 2023:</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4180"/>
        <w:gridCol w:w="1313"/>
        <w:gridCol w:w="1316"/>
        <w:gridCol w:w="1556"/>
      </w:tblGrid>
      <w:tr w:rsidR="007D050B" w:rsidRPr="00897E8F" w:rsidTr="00897E8F">
        <w:tc>
          <w:tcPr>
            <w:tcW w:w="361"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No.</w:t>
            </w:r>
          </w:p>
        </w:tc>
        <w:tc>
          <w:tcPr>
            <w:tcW w:w="231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Target</w:t>
            </w:r>
          </w:p>
        </w:tc>
        <w:tc>
          <w:tcPr>
            <w:tcW w:w="72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Unit</w:t>
            </w:r>
          </w:p>
        </w:tc>
        <w:tc>
          <w:tcPr>
            <w:tcW w:w="730"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Plan</w:t>
            </w:r>
          </w:p>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2023</w:t>
            </w:r>
          </w:p>
        </w:tc>
        <w:tc>
          <w:tcPr>
            <w:tcW w:w="863"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Results</w:t>
            </w:r>
          </w:p>
        </w:tc>
      </w:tr>
      <w:tr w:rsidR="007D050B" w:rsidRPr="00897E8F" w:rsidTr="00897E8F">
        <w:tc>
          <w:tcPr>
            <w:tcW w:w="361"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1</w:t>
            </w:r>
          </w:p>
        </w:tc>
        <w:tc>
          <w:tcPr>
            <w:tcW w:w="231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Profit before tax</w:t>
            </w:r>
          </w:p>
        </w:tc>
        <w:tc>
          <w:tcPr>
            <w:tcW w:w="72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130,000</w:t>
            </w:r>
          </w:p>
        </w:tc>
        <w:tc>
          <w:tcPr>
            <w:tcW w:w="863"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172,988</w:t>
            </w:r>
          </w:p>
        </w:tc>
      </w:tr>
      <w:tr w:rsidR="007D050B" w:rsidRPr="00897E8F" w:rsidTr="00897E8F">
        <w:tc>
          <w:tcPr>
            <w:tcW w:w="361"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2</w:t>
            </w:r>
          </w:p>
        </w:tc>
        <w:tc>
          <w:tcPr>
            <w:tcW w:w="231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Profit after tax (after deducting negative profit 2022 carried forward, paying corporate income tax 2023)</w:t>
            </w:r>
          </w:p>
        </w:tc>
        <w:tc>
          <w:tcPr>
            <w:tcW w:w="72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85,190</w:t>
            </w:r>
          </w:p>
        </w:tc>
        <w:tc>
          <w:tcPr>
            <w:tcW w:w="863"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119,800</w:t>
            </w:r>
          </w:p>
        </w:tc>
      </w:tr>
      <w:tr w:rsidR="007D050B" w:rsidRPr="00897E8F" w:rsidTr="00897E8F">
        <w:tc>
          <w:tcPr>
            <w:tcW w:w="361"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3</w:t>
            </w:r>
          </w:p>
        </w:tc>
        <w:tc>
          <w:tcPr>
            <w:tcW w:w="231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Appropriation for funds</w:t>
            </w:r>
          </w:p>
        </w:tc>
        <w:tc>
          <w:tcPr>
            <w:tcW w:w="72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21,298</w:t>
            </w:r>
          </w:p>
        </w:tc>
        <w:tc>
          <w:tcPr>
            <w:tcW w:w="863"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29,950</w:t>
            </w:r>
          </w:p>
        </w:tc>
      </w:tr>
      <w:tr w:rsidR="007D050B" w:rsidRPr="00897E8F" w:rsidTr="00897E8F">
        <w:tc>
          <w:tcPr>
            <w:tcW w:w="361"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3.1</w:t>
            </w:r>
          </w:p>
        </w:tc>
        <w:tc>
          <w:tcPr>
            <w:tcW w:w="231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Investment and development fund</w:t>
            </w:r>
          </w:p>
        </w:tc>
        <w:tc>
          <w:tcPr>
            <w:tcW w:w="72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8,519</w:t>
            </w:r>
          </w:p>
        </w:tc>
        <w:tc>
          <w:tcPr>
            <w:tcW w:w="863"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11,980</w:t>
            </w:r>
          </w:p>
        </w:tc>
      </w:tr>
      <w:tr w:rsidR="007D050B" w:rsidRPr="00897E8F" w:rsidTr="00897E8F">
        <w:tc>
          <w:tcPr>
            <w:tcW w:w="361"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3.2</w:t>
            </w:r>
          </w:p>
        </w:tc>
        <w:tc>
          <w:tcPr>
            <w:tcW w:w="231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Bonus and welfare fund:</w:t>
            </w:r>
          </w:p>
        </w:tc>
        <w:tc>
          <w:tcPr>
            <w:tcW w:w="72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11,075</w:t>
            </w:r>
          </w:p>
        </w:tc>
        <w:tc>
          <w:tcPr>
            <w:tcW w:w="863"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15,574</w:t>
            </w:r>
          </w:p>
        </w:tc>
      </w:tr>
      <w:tr w:rsidR="007D050B" w:rsidRPr="00897E8F" w:rsidTr="00897E8F">
        <w:tc>
          <w:tcPr>
            <w:tcW w:w="361"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3.3</w:t>
            </w:r>
          </w:p>
        </w:tc>
        <w:tc>
          <w:tcPr>
            <w:tcW w:w="231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Bonus fund for managers:</w:t>
            </w:r>
          </w:p>
        </w:tc>
        <w:tc>
          <w:tcPr>
            <w:tcW w:w="72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1,704</w:t>
            </w:r>
          </w:p>
        </w:tc>
        <w:tc>
          <w:tcPr>
            <w:tcW w:w="863"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2,396</w:t>
            </w:r>
          </w:p>
        </w:tc>
      </w:tr>
      <w:tr w:rsidR="007D050B" w:rsidRPr="00897E8F" w:rsidTr="00897E8F">
        <w:tc>
          <w:tcPr>
            <w:tcW w:w="361"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4</w:t>
            </w:r>
          </w:p>
        </w:tc>
        <w:tc>
          <w:tcPr>
            <w:tcW w:w="231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Remaining profit after tax after appropriating for funds</w:t>
            </w:r>
          </w:p>
        </w:tc>
        <w:tc>
          <w:tcPr>
            <w:tcW w:w="72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63,892</w:t>
            </w:r>
          </w:p>
        </w:tc>
        <w:tc>
          <w:tcPr>
            <w:tcW w:w="863"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89,850</w:t>
            </w:r>
          </w:p>
        </w:tc>
      </w:tr>
      <w:tr w:rsidR="007D050B" w:rsidRPr="00897E8F" w:rsidTr="00897E8F">
        <w:tc>
          <w:tcPr>
            <w:tcW w:w="361"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5</w:t>
            </w:r>
          </w:p>
        </w:tc>
        <w:tc>
          <w:tcPr>
            <w:tcW w:w="231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Profit after tax remaining from 2021 carried forward</w:t>
            </w:r>
          </w:p>
        </w:tc>
        <w:tc>
          <w:tcPr>
            <w:tcW w:w="728"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789</w:t>
            </w:r>
          </w:p>
        </w:tc>
        <w:tc>
          <w:tcPr>
            <w:tcW w:w="863" w:type="pct"/>
            <w:shd w:val="clear" w:color="auto" w:fill="auto"/>
            <w:vAlign w:val="center"/>
          </w:tcPr>
          <w:p w:rsidR="00B97B9C" w:rsidRPr="00897E8F" w:rsidRDefault="007D050B" w:rsidP="00897E8F">
            <w:pPr>
              <w:pBdr>
                <w:top w:val="nil"/>
                <w:left w:val="nil"/>
                <w:bottom w:val="nil"/>
                <w:right w:val="nil"/>
                <w:between w:val="nil"/>
              </w:pBdr>
              <w:tabs>
                <w:tab w:val="left" w:pos="360"/>
              </w:tabs>
              <w:spacing w:after="120" w:line="360" w:lineRule="auto"/>
              <w:jc w:val="center"/>
              <w:rPr>
                <w:color w:val="010000"/>
                <w:sz w:val="20"/>
                <w:szCs w:val="20"/>
                <w:rFonts w:ascii="Arial" w:eastAsia="Arial" w:hAnsi="Arial" w:cs="Arial"/>
              </w:rPr>
            </w:pPr>
            <w:r>
              <w:rPr>
                <w:color w:val="010000"/>
                <w:sz w:val="20"/>
                <w:rFonts w:ascii="Arial" w:hAnsi="Arial"/>
              </w:rPr>
              <w:t xml:space="preserve">789</w:t>
            </w: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6</w:t>
            </w:r>
          </w:p>
        </w:tc>
        <w:tc>
          <w:tcPr>
            <w:tcW w:w="231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Dividends paid in 2023 (in cash)</w:t>
            </w:r>
          </w:p>
        </w:tc>
        <w:tc>
          <w:tcPr>
            <w:tcW w:w="72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w:t>
            </w:r>
          </w:p>
        </w:tc>
        <w:tc>
          <w:tcPr>
            <w:tcW w:w="730"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Minimum 13%/par value</w:t>
            </w:r>
          </w:p>
        </w:tc>
        <w:tc>
          <w:tcPr>
            <w:tcW w:w="863"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19%/par value</w:t>
            </w: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6.1</w:t>
            </w:r>
          </w:p>
        </w:tc>
        <w:tc>
          <w:tcPr>
            <w:tcW w:w="231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Advanced dividends</w:t>
            </w:r>
          </w:p>
        </w:tc>
        <w:tc>
          <w:tcPr>
            <w:tcW w:w="728"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2318" w:type="pct"/>
            <w:shd w:val="clear" w:color="auto" w:fill="auto"/>
            <w:vAlign w:val="center"/>
          </w:tcPr>
          <w:p w:rsidR="007D050B" w:rsidRPr="00897E8F" w:rsidRDefault="007D050B" w:rsidP="00897E8F">
            <w:pPr>
              <w:pStyle w:val="ListParagraph"/>
              <w:numPr>
                <w:ilvl w:val="0"/>
                <w:numId w:val="4"/>
              </w:numPr>
              <w:pBdr>
                <w:top w:val="nil"/>
                <w:left w:val="nil"/>
                <w:bottom w:val="nil"/>
                <w:right w:val="nil"/>
                <w:between w:val="nil"/>
              </w:pBdr>
              <w:tabs>
                <w:tab w:val="left" w:pos="360"/>
              </w:tabs>
              <w:spacing w:after="120" w:line="360" w:lineRule="auto"/>
              <w:ind w:left="0" w:firstLine="0"/>
              <w:contextualSpacing w:val="0"/>
              <w:rPr>
                <w:color w:val="010000"/>
                <w:sz w:val="20"/>
                <w:szCs w:val="20"/>
                <w:rFonts w:ascii="Arial" w:eastAsia="Arial" w:hAnsi="Arial" w:cs="Arial"/>
              </w:rPr>
            </w:pPr>
            <w:r>
              <w:rPr>
                <w:color w:val="010000"/>
                <w:sz w:val="20"/>
                <w:rFonts w:ascii="Arial" w:hAnsi="Arial"/>
              </w:rPr>
              <w:t xml:space="preserve">Advanced dividend rate</w:t>
            </w:r>
          </w:p>
        </w:tc>
        <w:tc>
          <w:tcPr>
            <w:tcW w:w="72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w:t>
            </w: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10</w:t>
            </w: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2318" w:type="pct"/>
            <w:shd w:val="clear" w:color="auto" w:fill="auto"/>
            <w:vAlign w:val="center"/>
          </w:tcPr>
          <w:p w:rsidR="007D050B" w:rsidRPr="00897E8F" w:rsidRDefault="007D050B" w:rsidP="00897E8F">
            <w:pPr>
              <w:pStyle w:val="ListParagraph"/>
              <w:numPr>
                <w:ilvl w:val="0"/>
                <w:numId w:val="4"/>
              </w:numPr>
              <w:pBdr>
                <w:top w:val="nil"/>
                <w:left w:val="nil"/>
                <w:bottom w:val="nil"/>
                <w:right w:val="nil"/>
                <w:between w:val="nil"/>
              </w:pBdr>
              <w:tabs>
                <w:tab w:val="left" w:pos="360"/>
              </w:tabs>
              <w:spacing w:after="120" w:line="360" w:lineRule="auto"/>
              <w:ind w:left="0" w:firstLine="0"/>
              <w:contextualSpacing w:val="0"/>
              <w:rPr>
                <w:color w:val="010000"/>
                <w:sz w:val="20"/>
                <w:szCs w:val="20"/>
                <w:rFonts w:ascii="Arial" w:eastAsia="Arial" w:hAnsi="Arial" w:cs="Arial"/>
              </w:rPr>
            </w:pPr>
            <w:r>
              <w:rPr>
                <w:color w:val="010000"/>
                <w:sz w:val="20"/>
                <w:rFonts w:ascii="Arial" w:hAnsi="Arial"/>
              </w:rPr>
              <w:t xml:space="preserve">Number of outstanding shares at the time of advance</w:t>
            </w:r>
          </w:p>
        </w:tc>
        <w:tc>
          <w:tcPr>
            <w:tcW w:w="72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Shares</w:t>
            </w: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46,720,560</w:t>
            </w: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2318" w:type="pct"/>
            <w:shd w:val="clear" w:color="auto" w:fill="auto"/>
            <w:vAlign w:val="center"/>
          </w:tcPr>
          <w:p w:rsidR="007D050B" w:rsidRPr="00897E8F" w:rsidRDefault="007D050B" w:rsidP="00897E8F">
            <w:pPr>
              <w:pStyle w:val="ListParagraph"/>
              <w:numPr>
                <w:ilvl w:val="0"/>
                <w:numId w:val="4"/>
              </w:numPr>
              <w:pBdr>
                <w:top w:val="nil"/>
                <w:left w:val="nil"/>
                <w:bottom w:val="nil"/>
                <w:right w:val="nil"/>
                <w:between w:val="nil"/>
              </w:pBdr>
              <w:tabs>
                <w:tab w:val="left" w:pos="360"/>
              </w:tabs>
              <w:spacing w:after="120" w:line="360" w:lineRule="auto"/>
              <w:ind w:left="0" w:firstLine="0"/>
              <w:contextualSpacing w:val="0"/>
              <w:rPr>
                <w:color w:val="010000"/>
                <w:sz w:val="20"/>
                <w:szCs w:val="20"/>
                <w:rFonts w:ascii="Arial" w:eastAsia="Arial" w:hAnsi="Arial" w:cs="Arial"/>
              </w:rPr>
            </w:pPr>
            <w:r>
              <w:rPr>
                <w:color w:val="010000"/>
                <w:sz w:val="20"/>
                <w:rFonts w:ascii="Arial" w:hAnsi="Arial"/>
              </w:rPr>
              <w:t xml:space="preserve">Value of advanced dividends</w:t>
            </w:r>
          </w:p>
        </w:tc>
        <w:tc>
          <w:tcPr>
            <w:tcW w:w="72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46,721</w:t>
            </w: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6.2</w:t>
            </w:r>
          </w:p>
        </w:tc>
        <w:tc>
          <w:tcPr>
            <w:tcW w:w="231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Remaining profit to continue paying dividends in 2023</w:t>
            </w:r>
          </w:p>
        </w:tc>
        <w:tc>
          <w:tcPr>
            <w:tcW w:w="72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43,918</w:t>
            </w: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6.3</w:t>
            </w:r>
          </w:p>
        </w:tc>
        <w:tc>
          <w:tcPr>
            <w:tcW w:w="231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2nd dividend payment in 2023</w:t>
            </w:r>
          </w:p>
        </w:tc>
        <w:tc>
          <w:tcPr>
            <w:tcW w:w="728"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2318" w:type="pct"/>
            <w:shd w:val="clear" w:color="auto" w:fill="auto"/>
            <w:vAlign w:val="center"/>
          </w:tcPr>
          <w:p w:rsidR="007D050B" w:rsidRPr="00897E8F" w:rsidRDefault="007D050B" w:rsidP="00897E8F">
            <w:pPr>
              <w:pStyle w:val="ListParagraph"/>
              <w:numPr>
                <w:ilvl w:val="0"/>
                <w:numId w:val="4"/>
              </w:numPr>
              <w:pBdr>
                <w:top w:val="nil"/>
                <w:left w:val="nil"/>
                <w:bottom w:val="nil"/>
                <w:right w:val="nil"/>
                <w:between w:val="nil"/>
              </w:pBdr>
              <w:tabs>
                <w:tab w:val="left" w:pos="360"/>
              </w:tabs>
              <w:spacing w:after="120" w:line="360" w:lineRule="auto"/>
              <w:ind w:left="0" w:firstLine="0"/>
              <w:contextualSpacing w:val="0"/>
              <w:rPr>
                <w:color w:val="010000"/>
                <w:sz w:val="20"/>
                <w:szCs w:val="20"/>
                <w:rFonts w:ascii="Arial" w:eastAsia="Arial" w:hAnsi="Arial" w:cs="Arial"/>
              </w:rPr>
            </w:pPr>
            <w:r>
              <w:rPr>
                <w:color w:val="010000"/>
                <w:sz w:val="20"/>
                <w:rFonts w:ascii="Arial" w:hAnsi="Arial"/>
              </w:rPr>
              <w:t xml:space="preserve">2nd dividend payment rate</w:t>
            </w:r>
          </w:p>
        </w:tc>
        <w:tc>
          <w:tcPr>
            <w:tcW w:w="72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w:t>
            </w: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9</w:t>
            </w: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2318" w:type="pct"/>
            <w:shd w:val="clear" w:color="auto" w:fill="auto"/>
            <w:vAlign w:val="center"/>
          </w:tcPr>
          <w:p w:rsidR="007D050B" w:rsidRPr="00897E8F" w:rsidRDefault="007D050B" w:rsidP="00897E8F">
            <w:pPr>
              <w:pStyle w:val="ListParagraph"/>
              <w:numPr>
                <w:ilvl w:val="0"/>
                <w:numId w:val="4"/>
              </w:numPr>
              <w:pBdr>
                <w:top w:val="nil"/>
                <w:left w:val="nil"/>
                <w:bottom w:val="nil"/>
                <w:right w:val="nil"/>
                <w:between w:val="nil"/>
              </w:pBdr>
              <w:tabs>
                <w:tab w:val="left" w:pos="360"/>
              </w:tabs>
              <w:spacing w:after="120" w:line="360" w:lineRule="auto"/>
              <w:ind w:left="0" w:firstLine="0"/>
              <w:contextualSpacing w:val="0"/>
              <w:rPr>
                <w:color w:val="010000"/>
                <w:sz w:val="20"/>
                <w:szCs w:val="20"/>
                <w:rFonts w:ascii="Arial" w:eastAsia="Arial" w:hAnsi="Arial" w:cs="Arial"/>
              </w:rPr>
            </w:pPr>
            <w:r>
              <w:rPr>
                <w:color w:val="010000"/>
                <w:sz w:val="20"/>
                <w:rFonts w:ascii="Arial" w:hAnsi="Arial"/>
              </w:rPr>
              <w:t xml:space="preserve">Number of outstanding shares</w:t>
            </w:r>
          </w:p>
        </w:tc>
        <w:tc>
          <w:tcPr>
            <w:tcW w:w="72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Shares</w:t>
            </w: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46,720,560</w:t>
            </w: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2318" w:type="pct"/>
            <w:shd w:val="clear" w:color="auto" w:fill="auto"/>
            <w:vAlign w:val="center"/>
          </w:tcPr>
          <w:p w:rsidR="007D050B" w:rsidRPr="00897E8F" w:rsidRDefault="007D050B" w:rsidP="00897E8F">
            <w:pPr>
              <w:pStyle w:val="ListParagraph"/>
              <w:numPr>
                <w:ilvl w:val="0"/>
                <w:numId w:val="4"/>
              </w:numPr>
              <w:pBdr>
                <w:top w:val="nil"/>
                <w:left w:val="nil"/>
                <w:bottom w:val="nil"/>
                <w:right w:val="nil"/>
                <w:between w:val="nil"/>
              </w:pBdr>
              <w:tabs>
                <w:tab w:val="left" w:pos="360"/>
              </w:tabs>
              <w:spacing w:after="120" w:line="360" w:lineRule="auto"/>
              <w:ind w:left="0" w:firstLine="0"/>
              <w:contextualSpacing w:val="0"/>
              <w:rPr>
                <w:color w:val="010000"/>
                <w:sz w:val="20"/>
                <w:szCs w:val="20"/>
                <w:rFonts w:ascii="Arial" w:eastAsia="Arial" w:hAnsi="Arial" w:cs="Arial"/>
              </w:rPr>
            </w:pPr>
            <w:r>
              <w:rPr>
                <w:color w:val="010000"/>
                <w:sz w:val="20"/>
                <w:rFonts w:ascii="Arial" w:hAnsi="Arial"/>
              </w:rPr>
              <w:t xml:space="preserve">Dividend payment value</w:t>
            </w:r>
          </w:p>
        </w:tc>
        <w:tc>
          <w:tcPr>
            <w:tcW w:w="72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42,049</w:t>
            </w:r>
          </w:p>
        </w:tc>
      </w:tr>
      <w:tr w:rsidR="007D050B" w:rsidRPr="00897E8F" w:rsidTr="00897E8F">
        <w:tblPrEx>
          <w:tblLook w:val="04A0" w:firstRow="1" w:lastRow="0" w:firstColumn="1" w:lastColumn="0" w:noHBand="0" w:noVBand="1"/>
        </w:tblPrEx>
        <w:tc>
          <w:tcPr>
            <w:tcW w:w="361"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7</w:t>
            </w:r>
          </w:p>
        </w:tc>
        <w:tc>
          <w:tcPr>
            <w:tcW w:w="231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Remaining profit after dividend payment</w:t>
            </w:r>
          </w:p>
        </w:tc>
        <w:tc>
          <w:tcPr>
            <w:tcW w:w="728"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Million VND</w:t>
            </w:r>
          </w:p>
        </w:tc>
        <w:tc>
          <w:tcPr>
            <w:tcW w:w="730" w:type="pct"/>
            <w:shd w:val="clear" w:color="auto" w:fill="auto"/>
            <w:vAlign w:val="center"/>
          </w:tcPr>
          <w:p w:rsidR="007D050B" w:rsidRPr="00897E8F" w:rsidRDefault="007D050B" w:rsidP="00897E8F">
            <w:pPr>
              <w:tabs>
                <w:tab w:val="left" w:pos="360"/>
              </w:tabs>
              <w:spacing w:after="120" w:line="360" w:lineRule="auto"/>
              <w:rPr>
                <w:rFonts w:ascii="Arial" w:eastAsia="Arial" w:hAnsi="Arial" w:cs="Arial"/>
                <w:color w:val="010000"/>
                <w:sz w:val="20"/>
                <w:szCs w:val="20"/>
              </w:rPr>
            </w:pPr>
          </w:p>
        </w:tc>
        <w:tc>
          <w:tcPr>
            <w:tcW w:w="863" w:type="pct"/>
            <w:shd w:val="clear" w:color="auto" w:fill="auto"/>
            <w:vAlign w:val="center"/>
          </w:tcPr>
          <w:p w:rsidR="007D050B"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1,869</w:t>
            </w:r>
          </w:p>
        </w:tc>
      </w:tr>
    </w:tbl>
    <w:p w:rsidR="00B97B9C" w:rsidRPr="00897E8F" w:rsidRDefault="007D050B" w:rsidP="00897E8F">
      <w:pPr>
        <w:pStyle w:val="ListParagraph"/>
        <w:numPr>
          <w:ilvl w:val="0"/>
          <w:numId w:val="3"/>
        </w:numPr>
        <w:pBdr>
          <w:top w:val="nil"/>
          <w:left w:val="nil"/>
          <w:bottom w:val="nil"/>
          <w:right w:val="nil"/>
          <w:between w:val="nil"/>
        </w:pBdr>
        <w:tabs>
          <w:tab w:val="left" w:pos="360"/>
        </w:tabs>
        <w:spacing w:after="120" w:line="360" w:lineRule="auto"/>
        <w:ind w:left="0" w:firstLine="0"/>
        <w:contextualSpacing w:val="0"/>
        <w:rPr>
          <w:color w:val="010000"/>
          <w:sz w:val="20"/>
          <w:szCs w:val="20"/>
          <w:rFonts w:ascii="Arial" w:eastAsia="Arial" w:hAnsi="Arial" w:cs="Arial"/>
        </w:rPr>
      </w:pPr>
      <w:r>
        <w:rPr>
          <w:color w:val="010000"/>
          <w:sz w:val="20"/>
          <w:rFonts w:ascii="Arial" w:hAnsi="Arial"/>
        </w:rPr>
        <w:t xml:space="preserve">Plan on profit distribution and dividend payment in 2024:</w:t>
      </w:r>
    </w:p>
    <w:p w:rsidR="00B97B9C" w:rsidRPr="00897E8F" w:rsidRDefault="007D050B" w:rsidP="00897E8F">
      <w:pPr>
        <w:numPr>
          <w:ilvl w:val="0"/>
          <w:numId w:val="1"/>
        </w:numPr>
        <w:pBdr>
          <w:top w:val="nil"/>
          <w:left w:val="nil"/>
          <w:bottom w:val="nil"/>
          <w:right w:val="nil"/>
          <w:between w:val="nil"/>
        </w:pBdr>
        <w:tabs>
          <w:tab w:val="left" w:pos="360"/>
          <w:tab w:val="left" w:pos="932"/>
        </w:tabs>
        <w:spacing w:after="120" w:line="360" w:lineRule="auto"/>
        <w:rPr>
          <w:color w:val="010000"/>
          <w:sz w:val="20"/>
          <w:szCs w:val="20"/>
          <w:rFonts w:ascii="Arial" w:eastAsia="Arial" w:hAnsi="Arial" w:cs="Arial"/>
        </w:rPr>
      </w:pPr>
      <w:r>
        <w:rPr>
          <w:color w:val="010000"/>
          <w:sz w:val="20"/>
          <w:rFonts w:ascii="Arial" w:hAnsi="Arial"/>
        </w:rPr>
        <w:t xml:space="preserve">Appropriation rates to funds:</w:t>
      </w:r>
    </w:p>
    <w:p w:rsidR="00B97B9C" w:rsidRPr="00897E8F" w:rsidRDefault="007D050B" w:rsidP="00897E8F">
      <w:pPr>
        <w:numPr>
          <w:ilvl w:val="0"/>
          <w:numId w:val="2"/>
        </w:numPr>
        <w:pBdr>
          <w:top w:val="nil"/>
          <w:left w:val="nil"/>
          <w:bottom w:val="nil"/>
          <w:right w:val="nil"/>
          <w:between w:val="nil"/>
        </w:pBdr>
        <w:tabs>
          <w:tab w:val="left" w:pos="360"/>
        </w:tabs>
        <w:spacing w:after="120" w:line="360" w:lineRule="auto"/>
        <w:ind w:left="0" w:firstLine="0"/>
        <w:rPr>
          <w:color w:val="010000"/>
          <w:sz w:val="20"/>
          <w:szCs w:val="20"/>
          <w:rFonts w:ascii="Arial" w:eastAsia="Arial" w:hAnsi="Arial" w:cs="Arial"/>
        </w:rPr>
      </w:pPr>
      <w:r>
        <w:rPr>
          <w:color w:val="010000"/>
          <w:sz w:val="20"/>
          <w:rFonts w:ascii="Arial" w:hAnsi="Arial"/>
        </w:rPr>
        <w:t xml:space="preserve"> </w:t>
      </w:r>
      <w:r>
        <w:rPr>
          <w:color w:val="010000"/>
          <w:sz w:val="20"/>
          <w:rFonts w:ascii="Arial" w:hAnsi="Arial"/>
        </w:rPr>
        <w:t xml:space="preserve">Investment and development fund</w:t>
      </w:r>
      <w:r>
        <w:rPr>
          <w:color w:val="010000"/>
          <w:sz w:val="20"/>
          <w:rFonts w:ascii="Arial" w:hAnsi="Arial"/>
        </w:rPr>
        <w:t xml:space="preserve"> </w:t>
      </w:r>
      <w:r>
        <w:rPr>
          <w:color w:val="010000"/>
          <w:sz w:val="20"/>
          <w:rFonts w:ascii="Arial" w:hAnsi="Arial"/>
        </w:rPr>
        <w:t xml:space="preserve">10% of profit after corporate income tax.</w:t>
      </w:r>
    </w:p>
    <w:p w:rsidR="00B97B9C" w:rsidRPr="00897E8F" w:rsidRDefault="007D050B" w:rsidP="00897E8F">
      <w:pPr>
        <w:numPr>
          <w:ilvl w:val="0"/>
          <w:numId w:val="2"/>
        </w:numPr>
        <w:pBdr>
          <w:top w:val="nil"/>
          <w:left w:val="nil"/>
          <w:bottom w:val="nil"/>
          <w:right w:val="nil"/>
          <w:between w:val="nil"/>
        </w:pBdr>
        <w:tabs>
          <w:tab w:val="left" w:pos="360"/>
        </w:tabs>
        <w:spacing w:after="120" w:line="360" w:lineRule="auto"/>
        <w:ind w:left="0" w:firstLine="0"/>
        <w:rPr>
          <w:color w:val="010000"/>
          <w:sz w:val="20"/>
          <w:szCs w:val="20"/>
          <w:rFonts w:ascii="Arial" w:eastAsia="Arial" w:hAnsi="Arial" w:cs="Arial"/>
        </w:rPr>
      </w:pPr>
      <w:r>
        <w:rPr>
          <w:color w:val="010000"/>
          <w:sz w:val="20"/>
          <w:rFonts w:ascii="Arial" w:hAnsi="Arial"/>
        </w:rPr>
        <w:t xml:space="preserve">Bonus and welfare fund for employees</w:t>
      </w:r>
      <w:r>
        <w:rPr>
          <w:color w:val="010000"/>
          <w:sz w:val="20"/>
          <w:rFonts w:ascii="Arial" w:hAnsi="Arial"/>
        </w:rPr>
        <w:t xml:space="preserve"> </w:t>
      </w:r>
      <w:r>
        <w:rPr>
          <w:color w:val="010000"/>
          <w:sz w:val="20"/>
          <w:rFonts w:ascii="Arial" w:hAnsi="Arial"/>
        </w:rPr>
        <w:t xml:space="preserve">13% of profit after corporate income tax.</w:t>
      </w:r>
    </w:p>
    <w:p w:rsidR="00B97B9C" w:rsidRPr="00897E8F" w:rsidRDefault="007D050B" w:rsidP="00897E8F">
      <w:pPr>
        <w:numPr>
          <w:ilvl w:val="0"/>
          <w:numId w:val="2"/>
        </w:numPr>
        <w:pBdr>
          <w:top w:val="nil"/>
          <w:left w:val="nil"/>
          <w:bottom w:val="nil"/>
          <w:right w:val="nil"/>
          <w:between w:val="nil"/>
        </w:pBdr>
        <w:tabs>
          <w:tab w:val="left" w:pos="360"/>
        </w:tabs>
        <w:spacing w:after="120" w:line="360" w:lineRule="auto"/>
        <w:ind w:left="0" w:firstLine="0"/>
        <w:rPr>
          <w:color w:val="010000"/>
          <w:sz w:val="20"/>
          <w:szCs w:val="20"/>
          <w:rFonts w:ascii="Arial" w:eastAsia="Arial" w:hAnsi="Arial" w:cs="Arial"/>
        </w:rPr>
      </w:pPr>
      <w:r>
        <w:rPr>
          <w:color w:val="010000"/>
          <w:sz w:val="20"/>
          <w:rFonts w:ascii="Arial" w:hAnsi="Arial"/>
        </w:rPr>
        <w:t xml:space="preserve"> </w:t>
      </w:r>
      <w:r>
        <w:rPr>
          <w:color w:val="010000"/>
          <w:sz w:val="20"/>
          <w:rFonts w:ascii="Arial" w:hAnsi="Arial"/>
        </w:rPr>
        <w:t xml:space="preserve">Bonus fund for Company's managers: </w:t>
      </w:r>
      <w:r>
        <w:rPr>
          <w:color w:val="010000"/>
          <w:sz w:val="20"/>
          <w:rFonts w:ascii="Arial" w:hAnsi="Arial"/>
        </w:rPr>
        <w:t xml:space="preserve"> </w:t>
      </w:r>
      <w:r>
        <w:rPr>
          <w:color w:val="010000"/>
          <w:sz w:val="20"/>
          <w:rFonts w:ascii="Arial" w:hAnsi="Arial"/>
        </w:rPr>
        <w:t xml:space="preserve">2% of profit after corporate income tax.</w:t>
      </w:r>
      <w:r>
        <w:rPr>
          <w:color w:val="010000"/>
          <w:sz w:val="20"/>
          <w:rFonts w:ascii="Arial" w:hAnsi="Arial"/>
        </w:rPr>
        <w:t xml:space="preserve"> </w:t>
      </w:r>
    </w:p>
    <w:p w:rsidR="00B97B9C" w:rsidRPr="00897E8F" w:rsidRDefault="007D050B" w:rsidP="00897E8F">
      <w:pPr>
        <w:numPr>
          <w:ilvl w:val="0"/>
          <w:numId w:val="1"/>
        </w:numPr>
        <w:pBdr>
          <w:top w:val="nil"/>
          <w:left w:val="nil"/>
          <w:bottom w:val="nil"/>
          <w:right w:val="nil"/>
          <w:between w:val="nil"/>
        </w:pBdr>
        <w:tabs>
          <w:tab w:val="left" w:pos="360"/>
          <w:tab w:val="left" w:pos="936"/>
          <w:tab w:val="left" w:pos="9548"/>
        </w:tabs>
        <w:spacing w:after="120" w:line="360" w:lineRule="auto"/>
        <w:rPr>
          <w:color w:val="010000"/>
          <w:sz w:val="20"/>
          <w:szCs w:val="20"/>
          <w:rFonts w:ascii="Arial" w:eastAsia="Arial" w:hAnsi="Arial" w:cs="Arial"/>
        </w:rPr>
      </w:pPr>
      <w:r>
        <w:rPr>
          <w:color w:val="010000"/>
          <w:sz w:val="20"/>
          <w:rFonts w:ascii="Arial" w:hAnsi="Arial"/>
        </w:rPr>
        <w:t xml:space="preserve">Dividend payment in 2024:</w:t>
      </w:r>
      <w:r>
        <w:rPr>
          <w:color w:val="010000"/>
          <w:sz w:val="20"/>
          <w:rFonts w:ascii="Arial" w:hAnsi="Arial"/>
        </w:rPr>
        <w:t xml:space="preserve"> </w:t>
      </w:r>
      <w:r>
        <w:rPr>
          <w:color w:val="010000"/>
          <w:sz w:val="20"/>
          <w:rFonts w:ascii="Arial" w:hAnsi="Arial"/>
        </w:rPr>
        <w:t xml:space="preserve">minimum 15%/par value.</w:t>
      </w:r>
    </w:p>
    <w:p w:rsidR="00B97B9C"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Content 6:</w:t>
      </w:r>
      <w:r>
        <w:rPr>
          <w:color w:val="010000"/>
          <w:sz w:val="20"/>
          <w:rFonts w:ascii="Arial" w:hAnsi="Arial"/>
        </w:rPr>
        <w:t xml:space="preserve"> </w:t>
      </w:r>
      <w:r>
        <w:rPr>
          <w:color w:val="010000"/>
          <w:sz w:val="20"/>
          <w:rFonts w:ascii="Arial" w:hAnsi="Arial"/>
        </w:rPr>
        <w:t xml:space="preserve">Approve the report on salaries, remuneration, bonuses in 2023 of the Company's managers and the plan for 2024.</w:t>
      </w:r>
    </w:p>
    <w:p w:rsidR="00B97B9C"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Content 7:</w:t>
      </w:r>
      <w:r>
        <w:rPr>
          <w:color w:val="010000"/>
          <w:sz w:val="20"/>
          <w:rFonts w:ascii="Arial" w:hAnsi="Arial"/>
        </w:rPr>
        <w:t xml:space="preserve"> </w:t>
      </w:r>
      <w:r>
        <w:rPr>
          <w:color w:val="010000"/>
          <w:sz w:val="20"/>
          <w:rFonts w:ascii="Arial" w:hAnsi="Arial"/>
        </w:rPr>
        <w:t xml:space="preserve">Approve the selection of A&amp;C Auditing and Consulting Co., Ltd. as the independent audit company to review the semi-annual Financial Statements and audit the Financial Statements 2024.</w:t>
      </w:r>
    </w:p>
    <w:p w:rsidR="00B97B9C" w:rsidRPr="00897E8F" w:rsidRDefault="007D050B" w:rsidP="00897E8F">
      <w:pPr>
        <w:pBdr>
          <w:top w:val="nil"/>
          <w:left w:val="nil"/>
          <w:bottom w:val="nil"/>
          <w:right w:val="nil"/>
          <w:between w:val="nil"/>
        </w:pBdr>
        <w:tabs>
          <w:tab w:val="left" w:pos="360"/>
        </w:tabs>
        <w:spacing w:after="120" w:line="360" w:lineRule="auto"/>
        <w:rPr>
          <w:color w:val="010000"/>
          <w:sz w:val="20"/>
          <w:szCs w:val="20"/>
          <w:rFonts w:ascii="Arial" w:eastAsia="Arial" w:hAnsi="Arial" w:cs="Arial"/>
        </w:rPr>
      </w:pPr>
      <w:r>
        <w:rPr>
          <w:color w:val="010000"/>
          <w:sz w:val="20"/>
          <w:rFonts w:ascii="Arial" w:hAnsi="Arial"/>
        </w:rPr>
        <w:t xml:space="preserve">‎‎Article 2.</w:t>
      </w:r>
      <w:r>
        <w:rPr>
          <w:color w:val="010000"/>
          <w:sz w:val="20"/>
          <w:rFonts w:ascii="Arial" w:hAnsi="Arial"/>
        </w:rPr>
        <w:t xml:space="preserve"> </w:t>
      </w:r>
      <w:r>
        <w:rPr>
          <w:color w:val="010000"/>
          <w:sz w:val="20"/>
          <w:rFonts w:ascii="Arial" w:hAnsi="Arial"/>
        </w:rPr>
        <w:t xml:space="preserve">The Annual General Meeting of Shareholders in 2024 assigns the Board of Directors, the Supervisory Board, and the Executive Board of Bien Hoa Building Materials Production and Construction Joint Stock Company to implement, supervise and organize the implementation of the contents of this General Mandate with the best responsibility and results for the common interests of shareholders and in full compliance with current legal regulations.</w:t>
      </w:r>
    </w:p>
    <w:sectPr w:rsidR="00B97B9C" w:rsidRPr="00897E8F" w:rsidSect="00897E8F">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1160C"/>
    <w:multiLevelType w:val="multilevel"/>
    <w:tmpl w:val="3FA401F4"/>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27C00DE"/>
    <w:multiLevelType w:val="multilevel"/>
    <w:tmpl w:val="E9C248B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AEB0227"/>
    <w:multiLevelType w:val="hybridMultilevel"/>
    <w:tmpl w:val="E27C560E"/>
    <w:lvl w:ilvl="0" w:tplc="6E2C1830">
      <w:start w:val="1"/>
      <w:numFmt w:val="bullet"/>
      <w:lvlText w:val="-"/>
      <w:lvlJc w:val="left"/>
      <w:pPr>
        <w:ind w:left="720" w:hanging="360"/>
      </w:pPr>
      <w:rPr>
        <w:rFonts w:ascii="Arial" w:eastAsia="Arial" w:hAnsi="Arial" w:cs="Arial" w:hint="default"/>
        <w:b w:val="0"/>
        <w:i w:val="0"/>
        <w:sz w:val="20"/>
      </w:rPr>
    </w:lvl>
    <w:lvl w:ilvl="1" w:tplc="C9CC44D8" w:tentative="1">
      <w:start w:val="1"/>
      <w:numFmt w:val="bullet"/>
      <w:lvlText w:val="o"/>
      <w:lvlJc w:val="left"/>
      <w:pPr>
        <w:ind w:left="1440" w:hanging="360"/>
      </w:pPr>
      <w:rPr>
        <w:rFonts w:ascii="Courier New" w:hAnsi="Courier New" w:cs="Courier New" w:hint="default"/>
        <w:b w:val="0"/>
        <w:i w:val="0"/>
        <w:sz w:val="20"/>
      </w:rPr>
    </w:lvl>
    <w:lvl w:ilvl="2" w:tplc="F2843908"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814DD"/>
    <w:multiLevelType w:val="hybridMultilevel"/>
    <w:tmpl w:val="891C6668"/>
    <w:lvl w:ilvl="0" w:tplc="6E2C1830">
      <w:start w:val="1"/>
      <w:numFmt w:val="bullet"/>
      <w:lvlText w:val="-"/>
      <w:lvlJc w:val="left"/>
      <w:pPr>
        <w:ind w:left="720" w:hanging="360"/>
      </w:pPr>
      <w:rPr>
        <w:rFonts w:ascii="Arial" w:eastAsia="Arial" w:hAnsi="Arial" w:cs="Arial" w:hint="default"/>
        <w:b w:val="0"/>
        <w:i w:val="0"/>
        <w:sz w:val="20"/>
      </w:rPr>
    </w:lvl>
    <w:lvl w:ilvl="1" w:tplc="F52676C4" w:tentative="1">
      <w:start w:val="1"/>
      <w:numFmt w:val="bullet"/>
      <w:lvlText w:val="o"/>
      <w:lvlJc w:val="left"/>
      <w:pPr>
        <w:ind w:left="1440" w:hanging="360"/>
      </w:pPr>
      <w:rPr>
        <w:rFonts w:ascii="Courier New" w:hAnsi="Courier New" w:cs="Courier New" w:hint="default"/>
        <w:b w:val="0"/>
        <w:i w:val="0"/>
        <w:sz w:val="20"/>
      </w:rPr>
    </w:lvl>
    <w:lvl w:ilvl="2" w:tplc="1A06B20A"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9F5A25"/>
    <w:multiLevelType w:val="hybridMultilevel"/>
    <w:tmpl w:val="591E578C"/>
    <w:lvl w:ilvl="0" w:tplc="8406704A">
      <w:start w:val="1"/>
      <w:numFmt w:val="decimal"/>
      <w:lvlText w:val="5.%1."/>
      <w:lvlJc w:val="left"/>
      <w:pPr>
        <w:ind w:left="720" w:hanging="360"/>
      </w:pPr>
      <w:rPr>
        <w:rFonts w:hint="default"/>
        <w:b w:val="0"/>
        <w:i w:val="0"/>
        <w:sz w:val="20"/>
      </w:rPr>
    </w:lvl>
    <w:lvl w:ilvl="1" w:tplc="F4364C64" w:tentative="1">
      <w:start w:val="1"/>
      <w:numFmt w:val="lowerLetter"/>
      <w:lvlText w:val="%2."/>
      <w:lvlJc w:val="left"/>
      <w:pPr>
        <w:ind w:left="1440" w:hanging="360"/>
      </w:pPr>
      <w:rPr>
        <w:b w:val="0"/>
        <w:i w:val="0"/>
        <w:sz w:val="20"/>
      </w:rPr>
    </w:lvl>
    <w:lvl w:ilvl="2" w:tplc="E6888820" w:tentative="1">
      <w:start w:val="1"/>
      <w:numFmt w:val="lowerRoman"/>
      <w:lvlText w:val="%3."/>
      <w:lvlJc w:val="right"/>
      <w:pPr>
        <w:ind w:left="2160" w:hanging="180"/>
      </w:pPr>
      <w:rPr>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9C"/>
    <w:rsid w:val="007D050B"/>
    <w:rsid w:val="00897E8F"/>
    <w:rsid w:val="00B9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C3670"/>
  <w15:docId w15:val="{33E3617E-59AF-47B0-B3F6-042ED5B0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1"/>
      <w:szCs w:val="11"/>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02229"/>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202229"/>
      <w:sz w:val="30"/>
      <w:szCs w:val="3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202229"/>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02229"/>
      <w:u w:val="none"/>
      <w:shd w:val="clear" w:color="auto" w:fill="auto"/>
    </w:rPr>
  </w:style>
  <w:style w:type="paragraph" w:customStyle="1" w:styleId="Bodytext20">
    <w:name w:val="Body text (2)"/>
    <w:basedOn w:val="Normal"/>
    <w:link w:val="Bodytext2"/>
    <w:pPr>
      <w:spacing w:line="223" w:lineRule="auto"/>
    </w:pPr>
    <w:rPr>
      <w:rFonts w:ascii="Times New Roman" w:eastAsia="Times New Roman" w:hAnsi="Times New Roman" w:cs="Times New Roman"/>
      <w:color w:val="FF0000"/>
      <w:sz w:val="11"/>
      <w:szCs w:val="11"/>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color w:val="202229"/>
    </w:rPr>
  </w:style>
  <w:style w:type="paragraph" w:customStyle="1" w:styleId="Heading11">
    <w:name w:val="Heading #1"/>
    <w:basedOn w:val="Normal"/>
    <w:link w:val="Heading10"/>
    <w:pPr>
      <w:spacing w:line="257" w:lineRule="auto"/>
      <w:jc w:val="center"/>
      <w:outlineLvl w:val="0"/>
    </w:pPr>
    <w:rPr>
      <w:rFonts w:ascii="Times New Roman" w:eastAsia="Times New Roman" w:hAnsi="Times New Roman" w:cs="Times New Roman"/>
      <w:b/>
      <w:bCs/>
      <w:color w:val="202229"/>
      <w:sz w:val="30"/>
      <w:szCs w:val="30"/>
    </w:rPr>
  </w:style>
  <w:style w:type="paragraph" w:customStyle="1" w:styleId="Heading21">
    <w:name w:val="Heading #2"/>
    <w:basedOn w:val="Normal"/>
    <w:link w:val="Heading20"/>
    <w:pPr>
      <w:spacing w:line="298" w:lineRule="auto"/>
      <w:jc w:val="center"/>
      <w:outlineLvl w:val="1"/>
    </w:pPr>
    <w:rPr>
      <w:rFonts w:ascii="Times New Roman" w:eastAsia="Times New Roman" w:hAnsi="Times New Roman" w:cs="Times New Roman"/>
      <w:b/>
      <w:bCs/>
      <w:color w:val="202229"/>
      <w:sz w:val="26"/>
      <w:szCs w:val="26"/>
    </w:rPr>
  </w:style>
  <w:style w:type="paragraph" w:customStyle="1" w:styleId="Tablecaption0">
    <w:name w:val="Table caption"/>
    <w:basedOn w:val="Normal"/>
    <w:link w:val="Tablecaption"/>
    <w:pPr>
      <w:spacing w:line="250" w:lineRule="auto"/>
      <w:ind w:firstLine="280"/>
    </w:pPr>
    <w:rPr>
      <w:rFonts w:ascii="Times New Roman" w:eastAsia="Times New Roman" w:hAnsi="Times New Roman" w:cs="Times New Roman"/>
      <w:b/>
      <w:bCs/>
      <w:i/>
      <w:iCs/>
    </w:rPr>
  </w:style>
  <w:style w:type="paragraph" w:customStyle="1" w:styleId="Other0">
    <w:name w:val="Other"/>
    <w:basedOn w:val="Normal"/>
    <w:link w:val="Other"/>
    <w:pPr>
      <w:spacing w:line="259" w:lineRule="auto"/>
      <w:ind w:firstLine="400"/>
    </w:pPr>
    <w:rPr>
      <w:rFonts w:ascii="Times New Roman" w:eastAsia="Times New Roman" w:hAnsi="Times New Roman" w:cs="Times New Roman"/>
      <w:color w:val="20222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7D0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Kvrp3DKyrp8XRvU0J/B5P3oUA==">CgMxLjA4AHIhMXJjUUtTRXZvR1ZaNG9tRUNhdzRsdm01a0EwTXcxZHh3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2849</Characters>
  <Application>Microsoft Office Word</Application>
  <DocSecurity>0</DocSecurity>
  <Lines>189</Lines>
  <Paragraphs>181</Paragraphs>
  <ScaleCrop>false</ScaleCrop>
  <Company>Microsoft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2024-05-07T07:25:00Z</dcterms:created>
  <dcterms:modified xsi:type="dcterms:W3CDTF">2024-05-07T08:49:00Z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16e063dd325d365375b4312c8361dd47942f7c0df4db91031be6e1669d1dd034</vt:lpwstr>
  </property>
</Properties>
</file>